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68"/>
        <w:ind w:firstLine="300"/>
        <w:spacing w:line="360" w:lineRule="auto"/>
        <w:rPr>
          <w:rFonts w:ascii="宋体" w:hAnsi="宋体"/>
          <w:sz w:val="60"/>
          <w:szCs w:val="60"/>
        </w:rPr>
      </w:pPr>
      <w:r>
        <w:rPr>
          <w:rFonts w:ascii="宋体" w:hAnsi="宋体"/>
          <w:sz w:val="60"/>
          <w:szCs w:val="60"/>
        </w:rPr>
      </w:r>
      <w:r/>
    </w:p>
    <w:p>
      <w:pPr>
        <w:pStyle w:val="1068"/>
        <w:jc w:val="center"/>
        <w:rPr>
          <w:rFonts w:ascii="宋体" w:hAnsi="宋体"/>
          <w:b/>
          <w:bCs/>
          <w:sz w:val="60"/>
          <w:szCs w:val="60"/>
        </w:rPr>
      </w:pPr>
      <w:r>
        <w:rPr>
          <w:rFonts w:ascii="宋体" w:hAnsi="宋体"/>
          <w:b/>
          <w:bCs/>
          <w:sz w:val="60"/>
          <w:szCs w:val="60"/>
        </w:rPr>
        <w:t xml:space="preserve">常州市政府采购项目</w:t>
      </w:r>
      <w:r/>
    </w:p>
    <w:p>
      <w:pPr>
        <w:pStyle w:val="1068"/>
        <w:jc w:val="center"/>
        <w:rPr>
          <w:rFonts w:ascii="宋体" w:hAnsi="宋体"/>
          <w:b/>
          <w:bCs/>
          <w:sz w:val="60"/>
          <w:szCs w:val="60"/>
        </w:rPr>
      </w:pPr>
      <w:r>
        <w:rPr>
          <w:rFonts w:ascii="宋体" w:hAnsi="宋体"/>
          <w:b/>
          <w:bCs/>
          <w:sz w:val="60"/>
          <w:szCs w:val="60"/>
        </w:rPr>
      </w:r>
      <w:r/>
    </w:p>
    <w:p>
      <w:pPr>
        <w:pStyle w:val="106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68"/>
        <w:jc w:val="center"/>
        <w:rPr>
          <w:rFonts w:ascii="宋体" w:hAnsi="宋体"/>
          <w:b/>
          <w:bCs/>
          <w:sz w:val="60"/>
          <w:szCs w:val="60"/>
        </w:rPr>
      </w:pPr>
      <w:r>
        <w:rPr>
          <w:rFonts w:ascii="宋体" w:hAnsi="宋体"/>
          <w:b/>
          <w:bCs/>
          <w:sz w:val="60"/>
          <w:szCs w:val="60"/>
        </w:rPr>
      </w:r>
      <w:r/>
    </w:p>
    <w:p>
      <w:pPr>
        <w:pStyle w:val="1068"/>
        <w:jc w:val="center"/>
        <w:rPr>
          <w:rFonts w:ascii="宋体" w:hAnsi="宋体"/>
          <w:b/>
          <w:bCs/>
          <w:sz w:val="60"/>
          <w:szCs w:val="60"/>
        </w:rPr>
      </w:pPr>
      <w:r>
        <w:rPr>
          <w:rFonts w:ascii="宋体" w:hAnsi="宋体"/>
          <w:b/>
          <w:bCs/>
          <w:sz w:val="60"/>
          <w:szCs w:val="60"/>
        </w:rPr>
      </w:r>
      <w:r/>
    </w:p>
    <w:p>
      <w:pPr>
        <w:pStyle w:val="1068"/>
        <w:jc w:val="center"/>
        <w:spacing w:line="360" w:lineRule="auto"/>
        <w:rPr>
          <w:rFonts w:ascii="宋体" w:hAnsi="宋体"/>
          <w:sz w:val="60"/>
          <w:szCs w:val="60"/>
        </w:rPr>
      </w:pPr>
      <w:r>
        <w:rPr>
          <w:rFonts w:ascii="宋体" w:hAnsi="宋体"/>
          <w:sz w:val="60"/>
          <w:szCs w:val="60"/>
        </w:rPr>
      </w:r>
      <w:r/>
    </w:p>
    <w:p>
      <w:pPr>
        <w:pStyle w:val="106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武进区住宅专项维修资金项目核查服务项目</w:t>
      </w:r>
      <w:r>
        <w:rPr>
          <w:rFonts w:ascii="宋体" w:hAnsi="宋体"/>
          <w:bCs/>
          <w:sz w:val="36"/>
          <w:szCs w:val="36"/>
        </w:rPr>
      </w:r>
      <w:r/>
    </w:p>
    <w:p>
      <w:pPr>
        <w:pStyle w:val="106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JSZC-320412-CTZB-G2026-0049</w:t>
      </w:r>
      <w:r>
        <w:rPr>
          <w:rFonts w:ascii="宋体" w:hAnsi="宋体"/>
          <w:bCs/>
          <w:sz w:val="36"/>
          <w:szCs w:val="36"/>
        </w:rPr>
      </w:r>
      <w:r/>
    </w:p>
    <w:p>
      <w:pPr>
        <w:pStyle w:val="1068"/>
        <w:ind w:left="307"/>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常州市武进区房地产管理中心</w:t>
      </w:r>
      <w:r>
        <w:rPr>
          <w:rFonts w:ascii="宋体" w:hAnsi="宋体"/>
          <w:bCs/>
          <w:sz w:val="36"/>
          <w:szCs w:val="36"/>
        </w:rPr>
      </w:r>
      <w:r/>
    </w:p>
    <w:p>
      <w:pPr>
        <w:pStyle w:val="1068"/>
        <w:ind w:left="307"/>
        <w:jc w:val="left"/>
        <w:spacing w:line="360" w:lineRule="auto"/>
        <w:tabs>
          <w:tab w:val="left" w:pos="3240" w:leader="none"/>
          <w:tab w:val="left" w:pos="3420" w:leader="none"/>
        </w:tabs>
        <w:rPr>
          <w:rFonts w:ascii="宋体" w:hAnsi="宋体"/>
          <w:bCs/>
          <w:sz w:val="36"/>
          <w:szCs w:val="36"/>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br w:type="page" w:clear="all"/>
      </w:r>
      <w:r/>
    </w:p>
    <w:p>
      <w:pPr>
        <w:pStyle w:val="106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6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4"/>
          <w:color w:val="000000"/>
          <w:sz w:val="32"/>
          <w:szCs w:val="32"/>
        </w:rPr>
        <w:t xml:space="preserve">第三章   资</w:t>
      </w:r>
      <w:bookmarkStart w:id="1" w:name="_Hlt100754117"/>
      <w:r>
        <w:rPr>
          <w:rStyle w:val="1144"/>
          <w:color w:val="000000"/>
          <w:sz w:val="32"/>
          <w:szCs w:val="32"/>
        </w:rPr>
        <w:t xml:space="preserve">格</w:t>
      </w:r>
      <w:bookmarkEnd w:id="1"/>
      <w:r>
        <w:rPr>
          <w:rStyle w:val="114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4"/>
          <w:color w:val="000000"/>
          <w:sz w:val="32"/>
          <w:szCs w:val="32"/>
        </w:rPr>
        <w:t xml:space="preserve">第五章   采购</w:t>
      </w:r>
      <w:bookmarkStart w:id="2" w:name="_Hlt100754103"/>
      <w:r/>
      <w:bookmarkStart w:id="3" w:name="_Hlt100754102"/>
      <w:r>
        <w:rPr>
          <w:rStyle w:val="1144"/>
          <w:color w:val="000000"/>
          <w:sz w:val="32"/>
          <w:szCs w:val="32"/>
        </w:rPr>
        <w:t xml:space="preserve">需</w:t>
      </w:r>
      <w:bookmarkEnd w:id="2"/>
      <w:r/>
      <w:bookmarkEnd w:id="3"/>
      <w:r>
        <w:rPr>
          <w:rStyle w:val="114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21"/>
        <w:spacing w:line="720" w:lineRule="auto"/>
        <w:rPr>
          <w:b w:val="0"/>
        </w:rPr>
      </w:pPr>
      <w:r>
        <w:rPr>
          <w:b w:val="0"/>
          <w:sz w:val="32"/>
          <w:szCs w:val="32"/>
        </w:rPr>
        <w:fldChar w:fldCharType="end"/>
      </w:r>
      <w:r>
        <w:rPr>
          <w:b w:val="0"/>
        </w:rPr>
      </w:r>
      <w:r/>
    </w:p>
    <w:p>
      <w:pPr>
        <w:pStyle w:val="106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6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6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武进区住宅专项维修资金项目核查服务项目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hint="eastAsia" w:ascii="仿宋" w:hAnsi="仿宋" w:eastAsia="仿宋" w:cs="宋体"/>
          <w:b/>
          <w:bCs/>
          <w:sz w:val="32"/>
          <w:szCs w:val="32"/>
        </w:rPr>
        <w:t xml:space="preserve">6月01日09点30分（北京时间）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0"/>
        <w:ind w:firstLine="643"/>
        <w:jc w:val="left"/>
        <w:spacing w:before="240" w:line="360" w:lineRule="auto"/>
        <w:rPr>
          <w:rFonts w:ascii="仿宋" w:hAnsi="仿宋" w:eastAsia="仿宋"/>
          <w:sz w:val="32"/>
          <w:szCs w:val="32"/>
        </w:rPr>
      </w:pPr>
      <w:r/>
      <w:bookmarkStart w:id="5" w:name="_Toc28359002"/>
      <w:r/>
      <w:bookmarkStart w:id="6" w:name="_Toc35393790"/>
      <w:r/>
      <w:bookmarkStart w:id="7" w:name="_Toc28359079"/>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JSZC-320412-CTZB-G2026-0049</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武进区住宅专项维修资金项目核查服务项目</w:t>
      </w:r>
      <w:r>
        <w:rPr>
          <w:rFonts w:ascii="仿宋" w:hAnsi="仿宋" w:eastAsia="仿宋"/>
          <w:sz w:val="32"/>
          <w:szCs w:val="32"/>
        </w:rPr>
      </w:r>
      <w:r/>
    </w:p>
    <w:p>
      <w:pPr>
        <w:pStyle w:val="1068"/>
        <w:ind w:firstLine="640"/>
        <w:spacing w:line="360" w:lineRule="auto"/>
        <w:rPr>
          <w:rFonts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w:t>
      </w:r>
      <w:r>
        <w:rPr>
          <w:rFonts w:ascii="仿宋" w:hAnsi="仿宋" w:eastAsia="仿宋"/>
          <w:sz w:val="32"/>
          <w:szCs w:val="32"/>
        </w:rPr>
        <w:t xml:space="preserve">00万元</w:t>
      </w:r>
      <w:r>
        <w:rPr>
          <w:rFonts w:hint="eastAsia" w:ascii="仿宋" w:hAnsi="仿宋" w:eastAsia="仿宋"/>
          <w:sz w:val="32"/>
          <w:szCs w:val="32"/>
        </w:rPr>
        <w:t xml:space="preserve">/3年（每年200万元）</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w:t>
      </w:r>
      <w:r>
        <w:rPr>
          <w:rFonts w:hint="eastAsia" w:ascii="仿宋" w:hAnsi="仿宋" w:eastAsia="仿宋"/>
          <w:sz w:val="32"/>
          <w:szCs w:val="32"/>
        </w:rPr>
        <w:t xml:space="preserve">6</w:t>
      </w:r>
      <w:r>
        <w:rPr>
          <w:rFonts w:ascii="仿宋" w:hAnsi="仿宋" w:eastAsia="仿宋"/>
          <w:sz w:val="32"/>
          <w:szCs w:val="32"/>
        </w:rPr>
        <w:t xml:space="preserve">00万元</w:t>
      </w:r>
      <w:r>
        <w:rPr>
          <w:rFonts w:hint="eastAsia" w:ascii="仿宋" w:hAnsi="仿宋" w:eastAsia="仿宋"/>
          <w:sz w:val="32"/>
          <w:szCs w:val="32"/>
        </w:rPr>
        <w:t xml:space="preserve">/3年（每年200万元）</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本项目以优惠率进行报价（小数点后保留一位）。报价优惠率报价区间为0-100%，超出报价范围的投标无效。</w:t>
      </w:r>
      <w:r>
        <w:rPr>
          <w:rFonts w:ascii="仿宋" w:hAnsi="仿宋" w:eastAsia="仿宋"/>
          <w:sz w:val="32"/>
          <w:szCs w:val="32"/>
        </w:rPr>
      </w:r>
      <w:r/>
    </w:p>
    <w:p>
      <w:pPr>
        <w:pStyle w:val="1068"/>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本项目为武进区住宅专项维修资金项目核查服务项目，中标人需进行维修资金使用现场查勘、维修资金使用前公示、维修资金准予使用前公示、现场复核和现场审计等工作。</w:t>
      </w:r>
      <w:r>
        <w:rPr>
          <w:rFonts w:ascii="仿宋" w:hAnsi="仿宋" w:eastAsia="仿宋" w:cs="宋体"/>
          <w:b/>
          <w:spacing w:val="2"/>
          <w:sz w:val="32"/>
          <w:szCs w:val="32"/>
        </w:rPr>
      </w:r>
      <w:r/>
    </w:p>
    <w:p>
      <w:pPr>
        <w:pStyle w:val="106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服务履行期限：三年，合同一年一签。</w:t>
      </w:r>
      <w:r>
        <w:rPr>
          <w:rFonts w:ascii="仿宋" w:hAnsi="仿宋" w:eastAsia="仿宋"/>
          <w:sz w:val="32"/>
          <w:szCs w:val="32"/>
          <w:u w:val="single"/>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0"/>
        <w:ind w:firstLine="643"/>
        <w:jc w:val="left"/>
        <w:spacing w:before="0" w:line="360" w:lineRule="auto"/>
        <w:rPr>
          <w:rFonts w:ascii="仿宋" w:hAnsi="仿宋" w:eastAsia="仿宋"/>
          <w:sz w:val="32"/>
          <w:szCs w:val="32"/>
        </w:rPr>
      </w:pPr>
      <w:r/>
      <w:bookmarkStart w:id="10" w:name="_Toc35393622"/>
      <w:r/>
      <w:bookmarkStart w:id="11" w:name="_Toc28359003"/>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6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6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7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6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5</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hint="eastAsia" w:ascii="仿宋" w:hAnsi="仿宋" w:eastAsia="仿宋" w:cs="宋体"/>
          <w:sz w:val="32"/>
          <w:szCs w:val="32"/>
        </w:rPr>
        <w:t xml:space="preserve">5日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6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6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6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6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2026年06月01日09点30分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0"/>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6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6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68"/>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6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0"/>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6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68"/>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称：常州市武进区房地产管理中心</w:t>
      </w:r>
      <w:r/>
    </w:p>
    <w:p>
      <w:pPr>
        <w:pStyle w:val="106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址：常州市武进区行政中心建设苑</w:t>
      </w:r>
      <w:r/>
    </w:p>
    <w:p>
      <w:pPr>
        <w:pStyle w:val="106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联系方式：陈先生 </w:t>
      </w:r>
      <w:r>
        <w:rPr>
          <w:rFonts w:ascii="仿宋" w:hAnsi="仿宋" w:eastAsia="仿宋"/>
          <w:sz w:val="32"/>
          <w:szCs w:val="32"/>
        </w:rPr>
        <w:t xml:space="preserve"> 0519-86318655</w:t>
      </w:r>
      <w:r>
        <w:rPr>
          <w:rFonts w:hint="eastAsia" w:ascii="仿宋" w:hAnsi="仿宋" w:eastAsia="仿宋"/>
          <w:sz w:val="32"/>
          <w:szCs w:val="32"/>
        </w:rPr>
      </w:r>
      <w:r/>
    </w:p>
    <w:p>
      <w:pPr>
        <w:pStyle w:val="106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68"/>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6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6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6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6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68"/>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068"/>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99301420"/>
      <w:r/>
      <w:bookmarkStart w:id="38" w:name="_Toc265228423"/>
      <w:r/>
      <w:bookmarkStart w:id="39" w:name="_Toc127151777"/>
      <w:r/>
      <w:bookmarkStart w:id="40" w:name="_Toc150774783"/>
      <w:r/>
      <w:bookmarkStart w:id="41" w:name="_Toc305158854"/>
      <w:r/>
      <w:bookmarkStart w:id="42" w:name="_Toc353825548"/>
      <w:r/>
      <w:bookmarkStart w:id="43" w:name="_Toc305158928"/>
      <w:r/>
      <w:bookmarkStart w:id="44" w:name="_Toc127161488"/>
      <w:r/>
      <w:bookmarkStart w:id="45" w:name="_Toc264969275"/>
      <w:r/>
      <w:bookmarkStart w:id="46" w:name="_Toc353873938"/>
      <w:r/>
      <w:bookmarkStart w:id="47" w:name="_Toc226965856"/>
      <w:r/>
      <w:bookmarkStart w:id="48" w:name="_Toc5129378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0"/>
        <w:spacing w:before="0" w:line="360" w:lineRule="auto"/>
        <w:tabs>
          <w:tab w:val="center" w:pos="4592" w:leader="none"/>
          <w:tab w:val="left" w:pos="7860" w:leader="none"/>
        </w:tabs>
        <w:rPr>
          <w:rFonts w:ascii="宋体" w:hAnsi="宋体" w:eastAsia="宋体"/>
          <w:sz w:val="28"/>
        </w:rPr>
      </w:pPr>
      <w:r/>
      <w:bookmarkStart w:id="49" w:name="_Toc164608633"/>
      <w:r/>
      <w:bookmarkStart w:id="50" w:name="_Toc151190146"/>
      <w:r/>
      <w:bookmarkStart w:id="51" w:name="_Toc127161433"/>
      <w:r/>
      <w:bookmarkStart w:id="52" w:name="_Toc151193833"/>
      <w:r/>
      <w:bookmarkStart w:id="53" w:name="_Toc151193689"/>
      <w:r/>
      <w:bookmarkStart w:id="54" w:name="_Toc226965792"/>
      <w:r/>
      <w:bookmarkStart w:id="55" w:name="_Toc150774724"/>
      <w:r/>
      <w:bookmarkStart w:id="56" w:name="_Toc150509270"/>
      <w:r/>
      <w:bookmarkStart w:id="57" w:name="_Toc127151720"/>
      <w:r/>
      <w:bookmarkStart w:id="58" w:name="_Toc164229214"/>
      <w:r/>
      <w:bookmarkStart w:id="59" w:name="_Toc164351613"/>
      <w:r/>
      <w:bookmarkStart w:id="60" w:name="_Toc226309763"/>
      <w:r/>
      <w:bookmarkStart w:id="61" w:name="_Toc226965709"/>
      <w:r/>
      <w:bookmarkStart w:id="62" w:name="_Toc164229360"/>
      <w:r/>
      <w:bookmarkStart w:id="63" w:name="_Toc195842884"/>
      <w:r/>
      <w:bookmarkStart w:id="64" w:name="_Toc150774619"/>
      <w:r/>
      <w:bookmarkStart w:id="65" w:name="_Toc520356144"/>
      <w:r/>
      <w:bookmarkStart w:id="66" w:name="_Toc151193617"/>
      <w:r/>
      <w:bookmarkStart w:id="67" w:name="_Toc149720812"/>
      <w:r/>
      <w:bookmarkStart w:id="68" w:name="_Toc127151519"/>
      <w:r/>
      <w:bookmarkStart w:id="69" w:name="_Toc142311021"/>
      <w:r/>
      <w:bookmarkStart w:id="70" w:name="_Toc151193907"/>
      <w:r/>
      <w:bookmarkStart w:id="71" w:name="_Toc164608788"/>
      <w:r/>
      <w:bookmarkStart w:id="72" w:name="_Toc226337215"/>
      <w:r/>
      <w:bookmarkStart w:id="73" w:name="_Toc150480757"/>
      <w:r/>
      <w:bookmarkStart w:id="74" w:name="_Toc151193761"/>
      <w:r>
        <w:rPr>
          <w:rFonts w:ascii="宋体" w:hAnsi="宋体" w:eastAsia="宋体"/>
          <w:sz w:val="28"/>
        </w:rPr>
        <w:t xml:space="preserve">投标人须知资料表</w:t>
      </w:r>
      <w:r/>
    </w:p>
    <w:p>
      <w:pPr>
        <w:pStyle w:val="1068"/>
        <w:jc w:val="center"/>
        <w:rPr>
          <w:rFonts w:ascii="宋体" w:hAnsi="宋体"/>
          <w:b/>
          <w:sz w:val="28"/>
          <w:szCs w:val="28"/>
        </w:rPr>
      </w:pPr>
      <w:r>
        <w:rPr>
          <w:rFonts w:ascii="宋体" w:hAnsi="宋体"/>
          <w:b/>
          <w:sz w:val="28"/>
          <w:szCs w:val="28"/>
        </w:rPr>
      </w:r>
      <w:r/>
    </w:p>
    <w:p>
      <w:pPr>
        <w:pStyle w:val="106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6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6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项目属性：</w:t>
            </w:r>
            <w:r/>
          </w:p>
          <w:p>
            <w:pPr>
              <w:pStyle w:val="1068"/>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6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是否属于科研仪器设备采购项目：</w:t>
            </w:r>
            <w:r/>
          </w:p>
          <w:p>
            <w:pPr>
              <w:pStyle w:val="1068"/>
              <w:jc w:val="left"/>
              <w:rPr>
                <w:rFonts w:hint="eastAsia" w:ascii="宋体" w:hAnsi="宋体" w:cs="宋体"/>
                <w:sz w:val="24"/>
              </w:rPr>
            </w:pPr>
            <w:r>
              <w:rPr>
                <w:rFonts w:hint="eastAsia" w:ascii="宋体" w:hAnsi="宋体" w:cs="宋体"/>
                <w:sz w:val="24"/>
              </w:rPr>
              <w:t xml:space="preserve">□是</w:t>
            </w:r>
            <w:r/>
          </w:p>
          <w:p>
            <w:pPr>
              <w:pStyle w:val="106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08"/>
              <w:rPr>
                <w:rFonts w:hAnsi="宋体" w:cs="宋体"/>
                <w:sz w:val="24"/>
                <w:szCs w:val="24"/>
              </w:rPr>
            </w:pPr>
            <w:r>
              <w:rPr>
                <w:rFonts w:hAnsi="宋体" w:cs="宋体"/>
                <w:sz w:val="24"/>
              </w:rPr>
              <w:t xml:space="preserve">■</w:t>
            </w:r>
            <w:r>
              <w:rPr>
                <w:rFonts w:hAnsi="宋体" w:cs="宋体"/>
                <w:sz w:val="24"/>
                <w:szCs w:val="24"/>
              </w:rPr>
              <w:t xml:space="preserve">关于核心产品本项目_01_包不适用。</w:t>
            </w:r>
            <w:r/>
          </w:p>
          <w:p>
            <w:pPr>
              <w:pStyle w:val="1108"/>
              <w:rPr>
                <w:rFonts w:hAnsi="宋体" w:cs="宋体"/>
                <w:sz w:val="24"/>
                <w:szCs w:val="24"/>
              </w:rPr>
            </w:pPr>
            <w:r>
              <w:rPr>
                <w:rFonts w:hAnsi="宋体" w:cs="宋体"/>
                <w:sz w:val="24"/>
                <w:szCs w:val="24"/>
              </w:rPr>
              <w:t xml:space="preserve">□本项目__包为单一产品采购项目。</w:t>
            </w:r>
            <w:r/>
          </w:p>
          <w:p>
            <w:pPr>
              <w:pStyle w:val="1068"/>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0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■不组织</w:t>
            </w:r>
            <w:r/>
          </w:p>
          <w:p>
            <w:pPr>
              <w:pStyle w:val="106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0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■不召开</w:t>
            </w:r>
            <w:r/>
          </w:p>
          <w:p>
            <w:pPr>
              <w:pStyle w:val="106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投标样品递交：</w:t>
            </w:r>
            <w:r/>
          </w:p>
          <w:p>
            <w:pPr>
              <w:pStyle w:val="1068"/>
              <w:jc w:val="left"/>
              <w:rPr>
                <w:rFonts w:hint="eastAsia" w:ascii="宋体" w:hAnsi="宋体" w:cs="宋体"/>
                <w:sz w:val="24"/>
              </w:rPr>
            </w:pPr>
            <w:r>
              <w:rPr>
                <w:rFonts w:hint="eastAsia" w:ascii="宋体" w:hAnsi="宋体" w:cs="宋体"/>
                <w:sz w:val="24"/>
              </w:rPr>
              <w:t xml:space="preserve">■不需要</w:t>
            </w:r>
            <w:r/>
          </w:p>
          <w:p>
            <w:pPr>
              <w:pStyle w:val="1068"/>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6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6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投标报价的特殊规定：</w:t>
            </w:r>
            <w:r/>
          </w:p>
          <w:p>
            <w:pPr>
              <w:pStyle w:val="1068"/>
              <w:jc w:val="left"/>
              <w:rPr>
                <w:rFonts w:hint="eastAsia" w:ascii="宋体" w:hAnsi="宋体" w:cs="宋体"/>
                <w:sz w:val="24"/>
              </w:rPr>
            </w:pPr>
            <w:r>
              <w:rPr>
                <w:rFonts w:hint="eastAsia" w:ascii="宋体" w:hAnsi="宋体" w:cs="宋体"/>
                <w:sz w:val="24"/>
              </w:rPr>
              <w:t xml:space="preserve">■无</w:t>
            </w:r>
            <w:r/>
          </w:p>
          <w:p>
            <w:pPr>
              <w:pStyle w:val="106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68"/>
              <w:jc w:val="left"/>
              <w:rPr>
                <w:rFonts w:hint="eastAsia" w:ascii="宋体" w:hAnsi="宋体" w:cs="宋体"/>
                <w:sz w:val="24"/>
              </w:rPr>
            </w:pPr>
            <w:r>
              <w:rPr>
                <w:rFonts w:hint="eastAsia" w:ascii="宋体" w:hAnsi="宋体" w:cs="宋体"/>
                <w:sz w:val="24"/>
              </w:rPr>
              <w:t xml:space="preserve">■不允许</w:t>
            </w:r>
            <w:r/>
          </w:p>
          <w:p>
            <w:pPr>
              <w:pStyle w:val="1068"/>
              <w:jc w:val="left"/>
              <w:rPr>
                <w:rFonts w:hint="eastAsia" w:ascii="宋体" w:hAnsi="宋体" w:cs="宋体"/>
                <w:sz w:val="24"/>
              </w:rPr>
            </w:pPr>
            <w:r>
              <w:rPr>
                <w:rFonts w:hint="eastAsia" w:ascii="宋体" w:hAnsi="宋体" w:cs="宋体"/>
                <w:sz w:val="24"/>
              </w:rPr>
              <w:t xml:space="preserve">□允许，具体要求：</w:t>
            </w:r>
            <w:r/>
          </w:p>
          <w:p>
            <w:pPr>
              <w:pStyle w:val="106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6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6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5</w:t>
            </w:r>
            <w:r>
              <w:rPr>
                <w:rFonts w:hint="eastAsia" w:ascii="宋体" w:hAnsi="宋体" w:cs="宋体"/>
                <w:b/>
                <w:sz w:val="24"/>
              </w:rPr>
              <w:t xml:space="preserve">月</w:t>
            </w:r>
            <w:r>
              <w:rPr>
                <w:rFonts w:hint="eastAsia" w:ascii="宋体" w:hAnsi="宋体" w:cs="宋体"/>
                <w:b/>
                <w:sz w:val="24"/>
              </w:rPr>
              <w:t xml:space="preserve">1</w:t>
            </w:r>
            <w:r>
              <w:rPr>
                <w:rFonts w:hint="eastAsia" w:ascii="宋体" w:hAnsi="宋体" w:cs="宋体"/>
                <w:b/>
                <w:sz w:val="24"/>
              </w:rPr>
              <w:t xml:space="preserve">8日11点00分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接收询问和质疑的联系方式</w:t>
            </w:r>
            <w:r/>
          </w:p>
          <w:p>
            <w:pPr>
              <w:pStyle w:val="1068"/>
              <w:jc w:val="left"/>
              <w:rPr>
                <w:rFonts w:hint="eastAsia" w:ascii="宋体" w:hAnsi="宋体" w:cs="宋体"/>
                <w:sz w:val="24"/>
              </w:rPr>
            </w:pPr>
            <w:r>
              <w:rPr>
                <w:rFonts w:hint="eastAsia" w:ascii="宋体" w:hAnsi="宋体" w:cs="宋体"/>
                <w:sz w:val="24"/>
              </w:rPr>
              <w:t xml:space="preserve">联系部门：技术部；</w:t>
            </w:r>
            <w:r/>
          </w:p>
          <w:p>
            <w:pPr>
              <w:pStyle w:val="1068"/>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6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jc w:val="left"/>
              <w:rPr>
                <w:rFonts w:hint="eastAsia" w:ascii="宋体" w:hAnsi="宋体" w:cs="宋体"/>
                <w:b/>
                <w:sz w:val="24"/>
              </w:rPr>
            </w:pPr>
            <w:r>
              <w:rPr>
                <w:rFonts w:hint="eastAsia" w:ascii="宋体" w:hAnsi="宋体" w:cs="宋体"/>
                <w:b/>
                <w:sz w:val="24"/>
              </w:rPr>
              <w:t xml:space="preserve">（一）收费对象：</w:t>
            </w:r>
            <w:r/>
          </w:p>
          <w:p>
            <w:pPr>
              <w:pStyle w:val="1068"/>
              <w:jc w:val="left"/>
              <w:rPr>
                <w:rFonts w:hint="eastAsia" w:ascii="宋体" w:hAnsi="宋体" w:cs="宋体"/>
                <w:sz w:val="24"/>
              </w:rPr>
            </w:pPr>
            <w:r>
              <w:rPr>
                <w:rFonts w:hint="eastAsia" w:ascii="宋体" w:hAnsi="宋体" w:cs="宋体"/>
                <w:sz w:val="24"/>
              </w:rPr>
              <w:t xml:space="preserve">□采购人</w:t>
            </w:r>
            <w:r/>
          </w:p>
          <w:p>
            <w:pPr>
              <w:pStyle w:val="1068"/>
              <w:jc w:val="left"/>
              <w:rPr>
                <w:rFonts w:hint="eastAsia" w:ascii="宋体" w:hAnsi="宋体" w:cs="宋体"/>
                <w:sz w:val="24"/>
              </w:rPr>
            </w:pPr>
            <w:r>
              <w:rPr>
                <w:rFonts w:hint="eastAsia" w:ascii="宋体" w:hAnsi="宋体" w:cs="宋体"/>
                <w:sz w:val="24"/>
              </w:rPr>
              <w:t xml:space="preserve">■中标人</w:t>
            </w:r>
            <w:r/>
          </w:p>
          <w:p>
            <w:pPr>
              <w:pStyle w:val="1068"/>
              <w:jc w:val="left"/>
              <w:rPr>
                <w:rFonts w:ascii="宋体" w:hAnsi="宋体" w:cs="宋体"/>
                <w:b/>
                <w:sz w:val="24"/>
              </w:rPr>
            </w:pPr>
            <w:r>
              <w:rPr>
                <w:rFonts w:hint="eastAsia" w:ascii="宋体" w:hAnsi="宋体" w:cs="宋体"/>
                <w:b/>
                <w:sz w:val="24"/>
              </w:rPr>
              <w:t xml:space="preserve">（二）收费标准：本项目代理服务费共计12000元整。</w:t>
            </w:r>
            <w:r>
              <w:rPr>
                <w:rFonts w:ascii="宋体" w:hAnsi="宋体" w:cs="宋体"/>
                <w:b/>
                <w:sz w:val="24"/>
              </w:rPr>
            </w:r>
            <w:r/>
          </w:p>
          <w:p>
            <w:pPr>
              <w:pStyle w:val="1068"/>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6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6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6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68"/>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68"/>
        <w:jc w:val="center"/>
        <w:spacing w:before="240" w:after="240"/>
        <w:rPr>
          <w:rFonts w:hint="eastAsia" w:ascii="宋体" w:hAnsi="宋体" w:cs="宋体"/>
          <w:b/>
          <w:sz w:val="28"/>
          <w:szCs w:val="28"/>
        </w:rPr>
      </w:pPr>
      <w:r/>
      <w:bookmarkStart w:id="75" w:name="_Toc264969207"/>
      <w:r/>
      <w:bookmarkStart w:id="76" w:name="_Toc150480755"/>
      <w:r/>
      <w:bookmarkStart w:id="77" w:name="_Toc150774722"/>
      <w:r/>
      <w:bookmarkStart w:id="78" w:name="_Toc226965790"/>
      <w:r/>
      <w:bookmarkStart w:id="79" w:name="_Toc353873932"/>
      <w:r/>
      <w:bookmarkStart w:id="80" w:name="_Toc305158785"/>
      <w:r/>
      <w:bookmarkStart w:id="81" w:name="_Toc226337213"/>
      <w:r/>
      <w:bookmarkStart w:id="82" w:name="_Toc195842882"/>
      <w:r/>
      <w:bookmarkStart w:id="83" w:name="_Toc127151517"/>
      <w:r/>
      <w:bookmarkStart w:id="84" w:name="_Toc142311019"/>
      <w:r/>
      <w:bookmarkStart w:id="85" w:name="_Toc353825542"/>
      <w:r/>
      <w:bookmarkStart w:id="86" w:name="_Toc305158859"/>
      <w:r/>
      <w:bookmarkStart w:id="87" w:name="_Toc353873662"/>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0"/>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774618"/>
      <w:r/>
      <w:bookmarkStart w:id="92" w:name="_Toc150774723"/>
      <w:r/>
      <w:bookmarkStart w:id="93" w:name="_Toc226965708"/>
      <w:r/>
      <w:bookmarkStart w:id="94" w:name="_Toc142311020"/>
      <w:r/>
      <w:bookmarkStart w:id="95" w:name="_Toc151193760"/>
      <w:r/>
      <w:bookmarkStart w:id="96" w:name="_Toc151193906"/>
      <w:r/>
      <w:bookmarkStart w:id="97" w:name="_Toc264969208"/>
      <w:r/>
      <w:bookmarkStart w:id="98" w:name="_Toc151193616"/>
      <w:r/>
      <w:bookmarkStart w:id="99" w:name="_Toc305158786"/>
      <w:r/>
      <w:bookmarkStart w:id="100" w:name="_Toc195842883"/>
      <w:r/>
      <w:bookmarkStart w:id="101" w:name="_Toc150509269"/>
      <w:r/>
      <w:bookmarkStart w:id="102" w:name="_Toc265228356"/>
      <w:r/>
      <w:bookmarkStart w:id="103" w:name="_Toc151190145"/>
      <w:r/>
      <w:bookmarkStart w:id="104" w:name="_Toc150480756"/>
      <w:r/>
      <w:bookmarkStart w:id="105" w:name="_Toc226965791"/>
      <w:r/>
      <w:bookmarkStart w:id="106" w:name="_Toc151193688"/>
      <w:r/>
      <w:bookmarkStart w:id="107" w:name="_Toc226309762"/>
      <w:r/>
      <w:bookmarkStart w:id="108" w:name="_Toc151193832"/>
      <w:r/>
      <w:bookmarkStart w:id="109" w:name="_Toc226337214"/>
      <w:r/>
      <w:bookmarkStart w:id="110" w:name="_Toc30515886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50509271"/>
      <w:r/>
      <w:bookmarkStart w:id="117" w:name="_Toc226965710"/>
      <w:r/>
      <w:bookmarkStart w:id="118" w:name="_Toc164608634"/>
      <w:r/>
      <w:bookmarkStart w:id="119" w:name="_Toc127151721"/>
      <w:r/>
      <w:bookmarkStart w:id="120" w:name="_Toc151193908"/>
      <w:r/>
      <w:bookmarkStart w:id="121" w:name="_Toc142311022"/>
      <w:r/>
      <w:bookmarkStart w:id="122" w:name="_Toc226309764"/>
      <w:r/>
      <w:bookmarkStart w:id="123" w:name="_Toc264969210"/>
      <w:r/>
      <w:bookmarkStart w:id="124" w:name="_Toc149720813"/>
      <w:r/>
      <w:bookmarkStart w:id="125" w:name="_Toc195842885"/>
      <w:r/>
      <w:bookmarkStart w:id="126" w:name="_Toc151193618"/>
      <w:r/>
      <w:bookmarkStart w:id="127" w:name="_Toc150774725"/>
      <w:r/>
      <w:bookmarkStart w:id="128" w:name="_Toc305158862"/>
      <w:r/>
      <w:bookmarkStart w:id="129" w:name="_Toc226965793"/>
      <w:r/>
      <w:bookmarkStart w:id="130" w:name="_Toc164229361"/>
      <w:r/>
      <w:bookmarkStart w:id="131" w:name="_Toc164229215"/>
      <w:r/>
      <w:bookmarkStart w:id="132" w:name="_Toc150480758"/>
      <w:r/>
      <w:bookmarkStart w:id="133" w:name="_Toc164608789"/>
      <w:r/>
      <w:bookmarkStart w:id="134" w:name="_Toc226337216"/>
      <w:r/>
      <w:bookmarkStart w:id="135" w:name="_Toc127161434"/>
      <w:r/>
      <w:bookmarkStart w:id="136" w:name="_Toc151193762"/>
      <w:r/>
      <w:bookmarkStart w:id="137" w:name="_Toc151193834"/>
      <w:r/>
      <w:bookmarkStart w:id="138" w:name="_Toc265228358"/>
      <w:r/>
      <w:bookmarkStart w:id="139" w:name="_Toc305158788"/>
      <w:r/>
      <w:bookmarkStart w:id="140" w:name="_Toc164351614"/>
      <w:r/>
      <w:bookmarkStart w:id="141" w:name="_Toc151190147"/>
      <w:r/>
      <w:bookmarkStart w:id="142" w:name="_Toc150774620"/>
      <w:r/>
      <w:bookmarkStart w:id="143" w:name="_Toc12715152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620"/>
      <w:r/>
      <w:bookmarkStart w:id="145" w:name="_Toc151193764"/>
      <w:r/>
      <w:bookmarkStart w:id="146" w:name="_Toc150774727"/>
      <w:r/>
      <w:bookmarkStart w:id="147" w:name="_Toc305158790"/>
      <w:r/>
      <w:bookmarkStart w:id="148" w:name="_Toc265228360"/>
      <w:r/>
      <w:bookmarkStart w:id="149" w:name="_Toc226965712"/>
      <w:r/>
      <w:bookmarkStart w:id="150" w:name="_Toc520356146"/>
      <w:r/>
      <w:bookmarkStart w:id="151" w:name="_Toc142311024"/>
      <w:r/>
      <w:bookmarkStart w:id="152" w:name="_Toc150774622"/>
      <w:r/>
      <w:bookmarkStart w:id="153" w:name="_Toc226337218"/>
      <w:r/>
      <w:bookmarkStart w:id="154" w:name="_Toc305158864"/>
      <w:r/>
      <w:bookmarkStart w:id="155" w:name="_Toc226309766"/>
      <w:r/>
      <w:bookmarkStart w:id="156" w:name="_Toc150509273"/>
      <w:r/>
      <w:bookmarkStart w:id="157" w:name="_Toc151190149"/>
      <w:r/>
      <w:bookmarkStart w:id="158" w:name="_Toc127151522"/>
      <w:r/>
      <w:bookmarkStart w:id="159" w:name="_Toc151193836"/>
      <w:r/>
      <w:bookmarkStart w:id="160" w:name="_Toc264969212"/>
      <w:r/>
      <w:bookmarkStart w:id="161" w:name="_Toc226965795"/>
      <w:r/>
      <w:bookmarkStart w:id="162" w:name="_Toc151193692"/>
      <w:r/>
      <w:bookmarkStart w:id="163" w:name="_Toc150480760"/>
      <w:r/>
      <w:bookmarkStart w:id="164" w:name="_Toc195842887"/>
      <w:r/>
      <w:bookmarkStart w:id="165" w:name="_Toc151193910"/>
      <w:r>
        <w:rPr>
          <w:rFonts w:hint="eastAsia" w:ascii="宋体" w:hAnsi="宋体" w:cs="宋体"/>
          <w:sz w:val="28"/>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8"/>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6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6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68"/>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6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6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6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509274"/>
      <w:r/>
      <w:bookmarkStart w:id="168" w:name="_Toc226309767"/>
      <w:r/>
      <w:bookmarkStart w:id="169" w:name="_Toc151193693"/>
      <w:r/>
      <w:bookmarkStart w:id="170" w:name="_Toc164608792"/>
      <w:r/>
      <w:bookmarkStart w:id="171" w:name="_Toc305158791"/>
      <w:r/>
      <w:bookmarkStart w:id="172" w:name="_Toc164351617"/>
      <w:r/>
      <w:bookmarkStart w:id="173" w:name="_Toc305158865"/>
      <w:r/>
      <w:bookmarkStart w:id="174" w:name="_Toc149720816"/>
      <w:r/>
      <w:bookmarkStart w:id="175" w:name="_Toc127151724"/>
      <w:r/>
      <w:bookmarkStart w:id="176" w:name="_Toc151193765"/>
      <w:r/>
      <w:bookmarkStart w:id="177" w:name="_Toc520356147"/>
      <w:r/>
      <w:bookmarkStart w:id="178" w:name="_Toc164229364"/>
      <w:r/>
      <w:bookmarkStart w:id="179" w:name="_Toc226337219"/>
      <w:r/>
      <w:bookmarkStart w:id="180" w:name="_Toc226965713"/>
      <w:r/>
      <w:bookmarkStart w:id="181" w:name="_Toc150774728"/>
      <w:r/>
      <w:bookmarkStart w:id="182" w:name="_Toc142311025"/>
      <w:r/>
      <w:bookmarkStart w:id="183" w:name="_Toc151190150"/>
      <w:r/>
      <w:bookmarkStart w:id="184" w:name="_Toc226965796"/>
      <w:r/>
      <w:bookmarkStart w:id="185" w:name="_Toc127161437"/>
      <w:r/>
      <w:bookmarkStart w:id="186" w:name="_Toc164608637"/>
      <w:r/>
      <w:bookmarkStart w:id="187" w:name="_Toc151193837"/>
      <w:r/>
      <w:bookmarkStart w:id="188" w:name="_Toc164229218"/>
      <w:r/>
      <w:bookmarkStart w:id="189" w:name="_Toc265228361"/>
      <w:r/>
      <w:bookmarkStart w:id="190" w:name="_Toc151193911"/>
      <w:r/>
      <w:bookmarkStart w:id="191" w:name="_Toc150774623"/>
      <w:r/>
      <w:bookmarkStart w:id="192" w:name="_Toc127151523"/>
      <w:r/>
      <w:bookmarkStart w:id="193" w:name="_Toc264969213"/>
      <w:r/>
      <w:bookmarkStart w:id="194" w:name="_Toc195842888"/>
      <w:r/>
      <w:bookmarkStart w:id="195" w:name="_Toc151193621"/>
      <w:r/>
      <w:bookmarkStart w:id="196" w:name="_Toc15048076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0"/>
        <w:ind w:firstLine="562"/>
        <w:spacing w:before="0" w:line="360" w:lineRule="auto"/>
        <w:rPr>
          <w:rFonts w:hint="eastAsia" w:ascii="宋体" w:hAnsi="宋体" w:eastAsia="宋体" w:cs="宋体"/>
          <w:sz w:val="28"/>
        </w:rPr>
      </w:pPr>
      <w:r/>
      <w:bookmarkStart w:id="197" w:name="_Toc151193840"/>
      <w:r/>
      <w:bookmarkStart w:id="198" w:name="_Toc151193696"/>
      <w:r/>
      <w:bookmarkStart w:id="199" w:name="_Toc151193624"/>
      <w:r/>
      <w:bookmarkStart w:id="200" w:name="_Toc151190153"/>
      <w:r/>
      <w:bookmarkStart w:id="201" w:name="_Toc226337222"/>
      <w:r/>
      <w:bookmarkStart w:id="202" w:name="_Toc264969216"/>
      <w:r/>
      <w:bookmarkStart w:id="203" w:name="_Toc150509277"/>
      <w:r/>
      <w:bookmarkStart w:id="204" w:name="_Toc150480764"/>
      <w:r/>
      <w:bookmarkStart w:id="205" w:name="_Toc142311028"/>
      <w:r/>
      <w:bookmarkStart w:id="206" w:name="_Toc226309770"/>
      <w:r/>
      <w:bookmarkStart w:id="207" w:name="_Toc265228364"/>
      <w:r/>
      <w:bookmarkStart w:id="208" w:name="_Toc520356150"/>
      <w:r/>
      <w:bookmarkStart w:id="209" w:name="_Toc226965799"/>
      <w:r/>
      <w:bookmarkStart w:id="210" w:name="_Toc516367020"/>
      <w:r/>
      <w:bookmarkStart w:id="211" w:name="_Toc305158794"/>
      <w:r/>
      <w:bookmarkStart w:id="212" w:name="_Toc150774731"/>
      <w:r/>
      <w:bookmarkStart w:id="213" w:name="_Toc151193768"/>
      <w:r/>
      <w:bookmarkStart w:id="214" w:name="_Toc151193914"/>
      <w:r/>
      <w:bookmarkStart w:id="215" w:name="_Toc150774626"/>
      <w:r/>
      <w:bookmarkStart w:id="216" w:name="_Toc127151526"/>
      <w:r/>
      <w:bookmarkStart w:id="217" w:name="_Toc195842891"/>
      <w:r/>
      <w:bookmarkStart w:id="218" w:name="_Toc226965716"/>
      <w:r/>
      <w:bookmarkStart w:id="219" w:name="_Toc30515886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305158795"/>
      <w:r/>
      <w:bookmarkStart w:id="221" w:name="_Toc195842892"/>
      <w:r/>
      <w:bookmarkStart w:id="222" w:name="_Toc149720820"/>
      <w:r/>
      <w:bookmarkStart w:id="223" w:name="_Toc164229368"/>
      <w:r/>
      <w:bookmarkStart w:id="224" w:name="_Toc226965800"/>
      <w:r/>
      <w:bookmarkStart w:id="225" w:name="_Toc226337223"/>
      <w:r/>
      <w:bookmarkStart w:id="226" w:name="_Toc164608641"/>
      <w:r/>
      <w:bookmarkStart w:id="227" w:name="_Toc151193769"/>
      <w:r/>
      <w:bookmarkStart w:id="228" w:name="_Toc151193915"/>
      <w:r/>
      <w:bookmarkStart w:id="229" w:name="_Toc226309771"/>
      <w:r/>
      <w:bookmarkStart w:id="230" w:name="_Toc127151527"/>
      <w:r/>
      <w:bookmarkStart w:id="231" w:name="_Toc164351621"/>
      <w:r/>
      <w:bookmarkStart w:id="232" w:name="_Toc164608796"/>
      <w:r/>
      <w:bookmarkStart w:id="233" w:name="_Toc226965717"/>
      <w:r/>
      <w:bookmarkStart w:id="234" w:name="_Toc305158869"/>
      <w:r/>
      <w:bookmarkStart w:id="235" w:name="_Toc151193697"/>
      <w:r/>
      <w:bookmarkStart w:id="236" w:name="_Toc164229222"/>
      <w:r/>
      <w:bookmarkStart w:id="237" w:name="_Toc150509278"/>
      <w:r/>
      <w:bookmarkStart w:id="238" w:name="_Toc127151728"/>
      <w:r/>
      <w:bookmarkStart w:id="239" w:name="_Toc150480765"/>
      <w:r/>
      <w:bookmarkStart w:id="240" w:name="_Toc264969217"/>
      <w:r/>
      <w:bookmarkStart w:id="241" w:name="_Toc151193625"/>
      <w:r/>
      <w:bookmarkStart w:id="242" w:name="_Toc150774732"/>
      <w:r/>
      <w:bookmarkStart w:id="243" w:name="_Toc142311029"/>
      <w:r/>
      <w:bookmarkStart w:id="244" w:name="_Toc151190154"/>
      <w:r/>
      <w:bookmarkStart w:id="245" w:name="_Toc150774627"/>
      <w:r/>
      <w:bookmarkStart w:id="246" w:name="_Toc151193841"/>
      <w:r/>
      <w:bookmarkStart w:id="247" w:name="_Toc516367021"/>
      <w:r/>
      <w:bookmarkStart w:id="248" w:name="_Toc127161441"/>
      <w:r/>
      <w:bookmarkStart w:id="249" w:name="_Toc520356151"/>
      <w:r/>
      <w:bookmarkStart w:id="250" w:name="_Toc26522836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608797"/>
      <w:r/>
      <w:bookmarkStart w:id="252" w:name="_Toc305158870"/>
      <w:r/>
      <w:bookmarkStart w:id="253" w:name="_Toc151193916"/>
      <w:r/>
      <w:bookmarkStart w:id="254" w:name="_Toc150480766"/>
      <w:r/>
      <w:bookmarkStart w:id="255" w:name="_Toc150774628"/>
      <w:r/>
      <w:bookmarkStart w:id="256" w:name="_Toc150509279"/>
      <w:r/>
      <w:bookmarkStart w:id="257" w:name="_Toc265228366"/>
      <w:r/>
      <w:bookmarkStart w:id="258" w:name="_Toc516367022"/>
      <w:r/>
      <w:bookmarkStart w:id="259" w:name="_Ref467306676"/>
      <w:r/>
      <w:bookmarkStart w:id="260" w:name="_Ref467306195"/>
      <w:r/>
      <w:bookmarkStart w:id="261" w:name="_Toc195842893"/>
      <w:r/>
      <w:bookmarkStart w:id="262" w:name="_Toc164229223"/>
      <w:r/>
      <w:bookmarkStart w:id="263" w:name="_Toc142311030"/>
      <w:r/>
      <w:bookmarkStart w:id="264" w:name="_Toc127161442"/>
      <w:r/>
      <w:bookmarkStart w:id="265" w:name="_Toc520356152"/>
      <w:r/>
      <w:bookmarkStart w:id="266" w:name="_Toc226965801"/>
      <w:r/>
      <w:bookmarkStart w:id="267" w:name="_Toc164229369"/>
      <w:r/>
      <w:bookmarkStart w:id="268" w:name="_Toc164351622"/>
      <w:r/>
      <w:bookmarkStart w:id="269" w:name="_Toc150774733"/>
      <w:r/>
      <w:bookmarkStart w:id="270" w:name="_Toc226309772"/>
      <w:r/>
      <w:bookmarkStart w:id="271" w:name="_Toc164608642"/>
      <w:r/>
      <w:bookmarkStart w:id="272" w:name="_Toc226337224"/>
      <w:r/>
      <w:bookmarkStart w:id="273" w:name="_Toc151193698"/>
      <w:r/>
      <w:bookmarkStart w:id="274" w:name="_Toc151193770"/>
      <w:r/>
      <w:bookmarkStart w:id="275" w:name="_Toc226965718"/>
      <w:r/>
      <w:bookmarkStart w:id="276" w:name="_Toc151193842"/>
      <w:r/>
      <w:bookmarkStart w:id="277" w:name="_Toc149720821"/>
      <w:r/>
      <w:bookmarkStart w:id="278" w:name="_Toc127151729"/>
      <w:r/>
      <w:bookmarkStart w:id="279" w:name="_Toc127151528"/>
      <w:r/>
      <w:bookmarkStart w:id="280" w:name="_Toc305158796"/>
      <w:r/>
      <w:bookmarkStart w:id="281" w:name="_Toc264969218"/>
      <w:r/>
      <w:bookmarkStart w:id="282" w:name="_Toc151190155"/>
      <w:r/>
      <w:bookmarkStart w:id="283" w:name="_Toc151193626"/>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51193844"/>
      <w:r/>
      <w:bookmarkStart w:id="287" w:name="_Toc150774735"/>
      <w:r/>
      <w:bookmarkStart w:id="288" w:name="_Toc151190157"/>
      <w:r/>
      <w:bookmarkStart w:id="289" w:name="_Toc151193700"/>
      <w:r/>
      <w:bookmarkStart w:id="290" w:name="_Toc164608644"/>
      <w:r/>
      <w:bookmarkStart w:id="291" w:name="_Toc151193772"/>
      <w:r/>
      <w:bookmarkStart w:id="292" w:name="_Toc149720823"/>
      <w:r/>
      <w:bookmarkStart w:id="293" w:name="_Toc150774630"/>
      <w:r/>
      <w:bookmarkStart w:id="294" w:name="_Toc164608799"/>
      <w:r/>
      <w:bookmarkStart w:id="295" w:name="_Toc151193628"/>
      <w:r/>
      <w:bookmarkStart w:id="296" w:name="_Toc164229371"/>
      <w:r/>
      <w:bookmarkStart w:id="297" w:name="_Toc164229225"/>
      <w:r/>
      <w:bookmarkStart w:id="298" w:name="_Toc127151530"/>
      <w:r/>
      <w:bookmarkStart w:id="299" w:name="_Toc195842895"/>
      <w:r/>
      <w:bookmarkStart w:id="300" w:name="_Toc151193918"/>
      <w:r/>
      <w:bookmarkStart w:id="301" w:name="_Toc164351624"/>
      <w:r/>
      <w:bookmarkStart w:id="302" w:name="_Toc150509281"/>
      <w:r/>
      <w:bookmarkStart w:id="303" w:name="_Toc127151731"/>
      <w:r/>
      <w:bookmarkStart w:id="304" w:name="_Toc127161444"/>
      <w:r/>
      <w:bookmarkStart w:id="305" w:name="_Toc142311032"/>
      <w:r/>
      <w:bookmarkStart w:id="306" w:name="_Toc15048076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95842896"/>
      <w:r/>
      <w:bookmarkStart w:id="308" w:name="_Toc150509282"/>
      <w:r/>
      <w:bookmarkStart w:id="309" w:name="_Toc150774736"/>
      <w:r/>
      <w:bookmarkStart w:id="310" w:name="_Toc164608645"/>
      <w:r/>
      <w:bookmarkStart w:id="311" w:name="_Toc305158799"/>
      <w:r/>
      <w:bookmarkStart w:id="312" w:name="_Toc164229226"/>
      <w:r/>
      <w:bookmarkStart w:id="313" w:name="_Toc226965804"/>
      <w:r/>
      <w:bookmarkStart w:id="314" w:name="_Toc142311033"/>
      <w:r/>
      <w:bookmarkStart w:id="315" w:name="_Toc264969221"/>
      <w:r/>
      <w:bookmarkStart w:id="316" w:name="_Toc151193919"/>
      <w:r/>
      <w:bookmarkStart w:id="317" w:name="_Toc520356156"/>
      <w:r/>
      <w:bookmarkStart w:id="318" w:name="_Toc127161445"/>
      <w:r/>
      <w:bookmarkStart w:id="319" w:name="_Toc265228369"/>
      <w:r/>
      <w:bookmarkStart w:id="320" w:name="_Toc226309775"/>
      <w:r/>
      <w:bookmarkStart w:id="321" w:name="_Toc164608800"/>
      <w:r/>
      <w:bookmarkStart w:id="322" w:name="_Toc164229372"/>
      <w:r/>
      <w:bookmarkStart w:id="323" w:name="_Toc151190158"/>
      <w:r/>
      <w:bookmarkStart w:id="324" w:name="_Toc226965721"/>
      <w:r/>
      <w:bookmarkStart w:id="325" w:name="_Toc151193701"/>
      <w:r/>
      <w:bookmarkStart w:id="326" w:name="_Toc151193845"/>
      <w:r/>
      <w:bookmarkStart w:id="327" w:name="_Toc127151732"/>
      <w:r/>
      <w:bookmarkStart w:id="328" w:name="_Toc151193773"/>
      <w:r/>
      <w:bookmarkStart w:id="329" w:name="_Toc226337227"/>
      <w:r/>
      <w:bookmarkStart w:id="330" w:name="_Toc150480769"/>
      <w:r/>
      <w:bookmarkStart w:id="331" w:name="_Toc127151531"/>
      <w:r/>
      <w:bookmarkStart w:id="332" w:name="_Toc151193629"/>
      <w:r/>
      <w:bookmarkStart w:id="333" w:name="_Toc150774631"/>
      <w:r/>
      <w:bookmarkStart w:id="334" w:name="_Toc305158873"/>
      <w:r/>
      <w:bookmarkStart w:id="335" w:name="_Toc149720824"/>
      <w:r/>
      <w:bookmarkStart w:id="336" w:name="_Ref467306513"/>
      <w:r/>
      <w:bookmarkStart w:id="337" w:name="_Toc16435162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6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9720825"/>
      <w:r/>
      <w:bookmarkStart w:id="339" w:name="_Toc151193846"/>
      <w:r/>
      <w:bookmarkStart w:id="340" w:name="_Toc226965722"/>
      <w:r/>
      <w:bookmarkStart w:id="341" w:name="_Toc150480770"/>
      <w:r/>
      <w:bookmarkStart w:id="342" w:name="_Toc151193630"/>
      <w:r/>
      <w:bookmarkStart w:id="343" w:name="_Toc264969222"/>
      <w:r/>
      <w:bookmarkStart w:id="344" w:name="_Toc520356157"/>
      <w:r/>
      <w:bookmarkStart w:id="345" w:name="_Toc151190159"/>
      <w:r/>
      <w:bookmarkStart w:id="346" w:name="_Toc151193774"/>
      <w:r/>
      <w:bookmarkStart w:id="347" w:name="_Toc142311034"/>
      <w:r/>
      <w:bookmarkStart w:id="348" w:name="_Toc164229373"/>
      <w:r/>
      <w:bookmarkStart w:id="349" w:name="_Toc226309776"/>
      <w:r/>
      <w:bookmarkStart w:id="350" w:name="_Toc127151733"/>
      <w:r/>
      <w:bookmarkStart w:id="351" w:name="_Toc305158874"/>
      <w:r/>
      <w:bookmarkStart w:id="352" w:name="_Toc151193702"/>
      <w:r/>
      <w:bookmarkStart w:id="353" w:name="_Toc164229227"/>
      <w:r/>
      <w:bookmarkStart w:id="354" w:name="_Toc151193920"/>
      <w:r/>
      <w:bookmarkStart w:id="355" w:name="_Toc127161446"/>
      <w:r/>
      <w:bookmarkStart w:id="356" w:name="_Toc195842897"/>
      <w:r/>
      <w:bookmarkStart w:id="357" w:name="_Toc226337228"/>
      <w:r/>
      <w:bookmarkStart w:id="358" w:name="_Toc164351626"/>
      <w:r/>
      <w:bookmarkStart w:id="359" w:name="_Toc265228370"/>
      <w:r/>
      <w:bookmarkStart w:id="360" w:name="_Toc305158800"/>
      <w:r/>
      <w:bookmarkStart w:id="361" w:name="_Toc226965805"/>
      <w:r/>
      <w:bookmarkStart w:id="362" w:name="_Toc164608801"/>
      <w:r/>
      <w:bookmarkStart w:id="363" w:name="_Toc127151532"/>
      <w:r/>
      <w:bookmarkStart w:id="364" w:name="_Toc150509283"/>
      <w:r/>
      <w:bookmarkStart w:id="365" w:name="_Toc150774632"/>
      <w:r/>
      <w:bookmarkStart w:id="366" w:name="_Toc150774737"/>
      <w:r/>
      <w:bookmarkStart w:id="367" w:name="_Toc16460864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647"/>
      <w:r/>
      <w:bookmarkStart w:id="369" w:name="_Toc127161447"/>
      <w:r/>
      <w:bookmarkStart w:id="370" w:name="_Toc150774738"/>
      <w:r/>
      <w:bookmarkStart w:id="371" w:name="_Toc520356158"/>
      <w:r/>
      <w:bookmarkStart w:id="372" w:name="_Toc150774633"/>
      <w:r/>
      <w:bookmarkStart w:id="373" w:name="_Toc127151734"/>
      <w:r/>
      <w:bookmarkStart w:id="374" w:name="_Toc226965723"/>
      <w:r/>
      <w:bookmarkStart w:id="375" w:name="_Toc264969223"/>
      <w:r/>
      <w:bookmarkStart w:id="376" w:name="_Toc150509284"/>
      <w:r/>
      <w:bookmarkStart w:id="377" w:name="_Toc164229228"/>
      <w:r/>
      <w:bookmarkStart w:id="378" w:name="_Toc164351627"/>
      <w:r/>
      <w:bookmarkStart w:id="379" w:name="_Toc195842898"/>
      <w:r/>
      <w:bookmarkStart w:id="380" w:name="_Toc151193631"/>
      <w:r/>
      <w:bookmarkStart w:id="381" w:name="_Toc164229374"/>
      <w:r/>
      <w:bookmarkStart w:id="382" w:name="_Toc305158801"/>
      <w:r/>
      <w:bookmarkStart w:id="383" w:name="_Toc151190160"/>
      <w:r/>
      <w:bookmarkStart w:id="384" w:name="_Toc151193775"/>
      <w:r/>
      <w:bookmarkStart w:id="385" w:name="_Toc151193847"/>
      <w:r/>
      <w:bookmarkStart w:id="386" w:name="_Toc150480771"/>
      <w:r/>
      <w:bookmarkStart w:id="387" w:name="_Toc142311035"/>
      <w:r/>
      <w:bookmarkStart w:id="388" w:name="_Toc305158875"/>
      <w:r/>
      <w:bookmarkStart w:id="389" w:name="_Toc127151533"/>
      <w:r/>
      <w:bookmarkStart w:id="390" w:name="_Toc164608802"/>
      <w:r/>
      <w:bookmarkStart w:id="391" w:name="_Toc149720826"/>
      <w:r/>
      <w:bookmarkStart w:id="392" w:name="_Toc151193703"/>
      <w:r/>
      <w:bookmarkStart w:id="393" w:name="_Toc226965806"/>
      <w:r/>
      <w:bookmarkStart w:id="394" w:name="_Toc226309777"/>
      <w:r/>
      <w:bookmarkStart w:id="395" w:name="_Toc226337229"/>
      <w:r/>
      <w:bookmarkStart w:id="396" w:name="_Toc151193921"/>
      <w:r/>
      <w:bookmarkStart w:id="397" w:name="_Toc2652283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5228372"/>
      <w:r/>
      <w:bookmarkStart w:id="399" w:name="_Toc226337230"/>
      <w:r/>
      <w:bookmarkStart w:id="400" w:name="_Toc150480772"/>
      <w:r/>
      <w:bookmarkStart w:id="401" w:name="_Toc151193632"/>
      <w:r/>
      <w:bookmarkStart w:id="402" w:name="_Toc150774634"/>
      <w:r/>
      <w:bookmarkStart w:id="403" w:name="_Toc127151534"/>
      <w:r/>
      <w:bookmarkStart w:id="404" w:name="_Toc264969224"/>
      <w:r/>
      <w:bookmarkStart w:id="405" w:name="_Toc150774739"/>
      <w:r/>
      <w:bookmarkStart w:id="406" w:name="_Toc151193776"/>
      <w:r/>
      <w:bookmarkStart w:id="407" w:name="_Toc151193848"/>
      <w:r/>
      <w:bookmarkStart w:id="408" w:name="_Toc142311036"/>
      <w:r/>
      <w:bookmarkStart w:id="409" w:name="_Toc305158876"/>
      <w:r/>
      <w:bookmarkStart w:id="410" w:name="_Toc151193704"/>
      <w:r/>
      <w:bookmarkStart w:id="411" w:name="_Toc226965724"/>
      <w:r/>
      <w:bookmarkStart w:id="412" w:name="_Toc150509285"/>
      <w:r/>
      <w:bookmarkStart w:id="413" w:name="_Toc226965807"/>
      <w:r/>
      <w:bookmarkStart w:id="414" w:name="_Toc226309778"/>
      <w:r/>
      <w:bookmarkStart w:id="415" w:name="_Toc305158802"/>
      <w:r/>
      <w:bookmarkStart w:id="416" w:name="_Toc520356159"/>
      <w:r/>
      <w:bookmarkStart w:id="417" w:name="_Toc151193922"/>
      <w:r/>
      <w:bookmarkStart w:id="418" w:name="_Toc195842899"/>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6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774740"/>
      <w:r/>
      <w:bookmarkStart w:id="421" w:name="_Toc127161449"/>
      <w:r/>
      <w:bookmarkStart w:id="422" w:name="_Toc164229376"/>
      <w:r/>
      <w:bookmarkStart w:id="423" w:name="_Toc150509286"/>
      <w:r/>
      <w:bookmarkStart w:id="424" w:name="_Toc127151535"/>
      <w:r/>
      <w:bookmarkStart w:id="425" w:name="_Toc164608804"/>
      <w:r/>
      <w:bookmarkStart w:id="426" w:name="_Toc226965808"/>
      <w:r/>
      <w:bookmarkStart w:id="427" w:name="_Toc305158877"/>
      <w:r/>
      <w:bookmarkStart w:id="428" w:name="_Toc150480773"/>
      <w:r/>
      <w:bookmarkStart w:id="429" w:name="_Toc150774635"/>
      <w:r/>
      <w:bookmarkStart w:id="430" w:name="_Toc151193923"/>
      <w:r/>
      <w:bookmarkStart w:id="431" w:name="_Toc164608649"/>
      <w:r/>
      <w:bookmarkStart w:id="432" w:name="_Toc520356160"/>
      <w:r/>
      <w:bookmarkStart w:id="433" w:name="_Toc264969225"/>
      <w:r/>
      <w:bookmarkStart w:id="434" w:name="_Toc226337231"/>
      <w:r/>
      <w:bookmarkStart w:id="435" w:name="_Toc127151736"/>
      <w:r/>
      <w:bookmarkStart w:id="436" w:name="_Toc149720828"/>
      <w:r/>
      <w:bookmarkStart w:id="437" w:name="_Toc151193849"/>
      <w:r/>
      <w:bookmarkStart w:id="438" w:name="_Toc151193633"/>
      <w:r/>
      <w:bookmarkStart w:id="439" w:name="_Toc142311037"/>
      <w:r/>
      <w:bookmarkStart w:id="440" w:name="_Toc151190162"/>
      <w:r/>
      <w:bookmarkStart w:id="441" w:name="_Toc265228373"/>
      <w:r/>
      <w:bookmarkStart w:id="442" w:name="_Toc164229230"/>
      <w:r/>
      <w:bookmarkStart w:id="443" w:name="_Toc164351629"/>
      <w:r/>
      <w:bookmarkStart w:id="444" w:name="_Toc195842900"/>
      <w:r/>
      <w:bookmarkStart w:id="445" w:name="_Toc151193777"/>
      <w:r/>
      <w:bookmarkStart w:id="446" w:name="_Toc226965725"/>
      <w:r/>
      <w:bookmarkStart w:id="447" w:name="_Toc226309779"/>
      <w:r/>
      <w:bookmarkStart w:id="448" w:name="_Toc305158803"/>
      <w:r/>
      <w:bookmarkStart w:id="449" w:name="_Toc15119370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27151536"/>
      <w:r/>
      <w:bookmarkStart w:id="451" w:name="_Toc150480774"/>
      <w:r/>
      <w:bookmarkStart w:id="452" w:name="_Toc164351630"/>
      <w:r/>
      <w:bookmarkStart w:id="453" w:name="_Toc151193706"/>
      <w:r/>
      <w:bookmarkStart w:id="454" w:name="_Toc127151737"/>
      <w:r/>
      <w:bookmarkStart w:id="455" w:name="_Toc226337232"/>
      <w:r/>
      <w:bookmarkStart w:id="456" w:name="_Toc142311038"/>
      <w:r/>
      <w:bookmarkStart w:id="457" w:name="_Toc164229377"/>
      <w:r/>
      <w:bookmarkStart w:id="458" w:name="_Toc226309780"/>
      <w:r/>
      <w:bookmarkStart w:id="459" w:name="_Toc149720829"/>
      <w:r/>
      <w:bookmarkStart w:id="460" w:name="_Toc151193850"/>
      <w:r/>
      <w:bookmarkStart w:id="461" w:name="_Toc305158878"/>
      <w:r/>
      <w:bookmarkStart w:id="462" w:name="_Toc164608805"/>
      <w:r/>
      <w:bookmarkStart w:id="463" w:name="_Toc151193924"/>
      <w:r/>
      <w:bookmarkStart w:id="464" w:name="_Toc265228374"/>
      <w:r/>
      <w:bookmarkStart w:id="465" w:name="_Toc164608650"/>
      <w:r/>
      <w:bookmarkStart w:id="466" w:name="_Toc226965726"/>
      <w:r/>
      <w:bookmarkStart w:id="467" w:name="_Toc151193778"/>
      <w:r/>
      <w:bookmarkStart w:id="468" w:name="_Toc151193634"/>
      <w:r/>
      <w:bookmarkStart w:id="469" w:name="_Toc164229231"/>
      <w:r/>
      <w:bookmarkStart w:id="470" w:name="_Toc226965809"/>
      <w:r/>
      <w:bookmarkStart w:id="471" w:name="_Toc264969226"/>
      <w:r/>
      <w:bookmarkStart w:id="472" w:name="_Toc520356161"/>
      <w:r/>
      <w:bookmarkStart w:id="473" w:name="_Toc305158804"/>
      <w:r/>
      <w:bookmarkStart w:id="474" w:name="_Toc150774636"/>
      <w:r/>
      <w:bookmarkStart w:id="475" w:name="_Toc150509287"/>
      <w:r/>
      <w:bookmarkStart w:id="476" w:name="_Toc150774741"/>
      <w:r/>
      <w:bookmarkStart w:id="477" w:name="_Toc151190163"/>
      <w:r/>
      <w:bookmarkStart w:id="478" w:name="_Toc195842901"/>
      <w:r/>
      <w:bookmarkStart w:id="479" w:name="_Toc12716145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305158805"/>
      <w:r/>
      <w:bookmarkStart w:id="482" w:name="_Toc164608651"/>
      <w:r/>
      <w:bookmarkStart w:id="483" w:name="_Toc150774637"/>
      <w:r/>
      <w:bookmarkStart w:id="484" w:name="_Toc195842902"/>
      <w:r/>
      <w:bookmarkStart w:id="485" w:name="_Toc127151537"/>
      <w:r/>
      <w:bookmarkStart w:id="486" w:name="_Toc150774742"/>
      <w:r/>
      <w:bookmarkStart w:id="487" w:name="_Toc226965727"/>
      <w:r/>
      <w:bookmarkStart w:id="488" w:name="_Toc151190164"/>
      <w:r/>
      <w:bookmarkStart w:id="489" w:name="_Toc151193925"/>
      <w:r/>
      <w:bookmarkStart w:id="490" w:name="_Toc520356162"/>
      <w:r/>
      <w:bookmarkStart w:id="491" w:name="_Toc151193707"/>
      <w:r/>
      <w:bookmarkStart w:id="492" w:name="_Toc164351631"/>
      <w:r/>
      <w:bookmarkStart w:id="493" w:name="_Toc127161451"/>
      <w:r/>
      <w:bookmarkStart w:id="494" w:name="_Toc151193851"/>
      <w:r/>
      <w:bookmarkStart w:id="495" w:name="_Toc264969227"/>
      <w:r/>
      <w:bookmarkStart w:id="496" w:name="_Toc151193635"/>
      <w:r/>
      <w:bookmarkStart w:id="497" w:name="_Toc265228375"/>
      <w:r/>
      <w:bookmarkStart w:id="498" w:name="_Toc151193779"/>
      <w:r/>
      <w:bookmarkStart w:id="499" w:name="_Toc226309781"/>
      <w:r/>
      <w:bookmarkStart w:id="500" w:name="_Toc164608806"/>
      <w:r/>
      <w:bookmarkStart w:id="501" w:name="_Toc164229232"/>
      <w:r/>
      <w:bookmarkStart w:id="502" w:name="_Toc226965810"/>
      <w:r/>
      <w:bookmarkStart w:id="503" w:name="_Toc164229378"/>
      <w:r/>
      <w:bookmarkStart w:id="504" w:name="_Toc305158879"/>
      <w:r/>
      <w:bookmarkStart w:id="505" w:name="_Toc149720830"/>
      <w:r/>
      <w:bookmarkStart w:id="506" w:name="_Toc127151738"/>
      <w:r/>
      <w:bookmarkStart w:id="507" w:name="_Toc226337233"/>
      <w:r/>
      <w:bookmarkStart w:id="508" w:name="_Toc142311039"/>
      <w:r/>
      <w:bookmarkStart w:id="509" w:name="_Toc150509288"/>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68"/>
        <w:ind w:firstLine="480"/>
        <w:spacing w:line="360" w:lineRule="auto"/>
        <w:rPr>
          <w:rFonts w:hint="eastAsia" w:ascii="宋体" w:hAnsi="宋体" w:cs="宋体"/>
          <w:sz w:val="24"/>
        </w:rPr>
      </w:pPr>
      <w:r>
        <w:rPr>
          <w:rFonts w:hint="eastAsia" w:ascii="宋体" w:hAnsi="宋体" w:cs="宋体"/>
          <w:sz w:val="24"/>
        </w:rPr>
      </w:r>
      <w:r/>
    </w:p>
    <w:p>
      <w:pPr>
        <w:pStyle w:val="1070"/>
        <w:ind w:firstLine="562"/>
        <w:spacing w:before="0" w:line="360" w:lineRule="auto"/>
        <w:rPr>
          <w:rFonts w:hint="eastAsia" w:ascii="宋体" w:hAnsi="宋体" w:eastAsia="宋体" w:cs="宋体"/>
          <w:sz w:val="28"/>
        </w:rPr>
      </w:pPr>
      <w:r/>
      <w:bookmarkStart w:id="510" w:name="_Toc226965811"/>
      <w:r/>
      <w:bookmarkStart w:id="511" w:name="_Toc150480776"/>
      <w:r/>
      <w:bookmarkStart w:id="512" w:name="_Toc305158806"/>
      <w:r/>
      <w:bookmarkStart w:id="513" w:name="_Toc151193636"/>
      <w:r/>
      <w:bookmarkStart w:id="514" w:name="_Toc520356163"/>
      <w:r/>
      <w:bookmarkStart w:id="515" w:name="_Toc226337234"/>
      <w:r/>
      <w:bookmarkStart w:id="516" w:name="_Toc150774743"/>
      <w:r/>
      <w:bookmarkStart w:id="517" w:name="_Toc151193926"/>
      <w:r/>
      <w:bookmarkStart w:id="518" w:name="_Toc127151538"/>
      <w:r/>
      <w:bookmarkStart w:id="519" w:name="_Toc195842903"/>
      <w:r/>
      <w:bookmarkStart w:id="520" w:name="_Toc226309782"/>
      <w:r/>
      <w:bookmarkStart w:id="521" w:name="_Toc226965728"/>
      <w:r/>
      <w:bookmarkStart w:id="522" w:name="_Toc151193852"/>
      <w:r/>
      <w:bookmarkStart w:id="523" w:name="_Toc142311040"/>
      <w:r/>
      <w:bookmarkStart w:id="524" w:name="_Toc151193780"/>
      <w:r/>
      <w:bookmarkStart w:id="525" w:name="_Toc264969228"/>
      <w:r/>
      <w:bookmarkStart w:id="526" w:name="_Toc150774638"/>
      <w:r/>
      <w:bookmarkStart w:id="527" w:name="_Toc151193708"/>
      <w:r/>
      <w:bookmarkStart w:id="528" w:name="_Toc150509289"/>
      <w:r/>
      <w:bookmarkStart w:id="529" w:name="_Toc265228376"/>
      <w:r/>
      <w:bookmarkStart w:id="530" w:name="_Toc305158880"/>
      <w:r/>
      <w:bookmarkStart w:id="531" w:name="_Toc151190165"/>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3709"/>
      <w:r/>
      <w:bookmarkStart w:id="533" w:name="_Toc127151740"/>
      <w:r/>
      <w:bookmarkStart w:id="534" w:name="_Toc226309783"/>
      <w:r/>
      <w:bookmarkStart w:id="535" w:name="_Toc226965729"/>
      <w:r/>
      <w:bookmarkStart w:id="536" w:name="_Toc127161453"/>
      <w:r/>
      <w:bookmarkStart w:id="537" w:name="_Toc265228377"/>
      <w:r/>
      <w:bookmarkStart w:id="538" w:name="_Toc150509290"/>
      <w:r/>
      <w:bookmarkStart w:id="539" w:name="_Toc226965812"/>
      <w:r/>
      <w:bookmarkStart w:id="540" w:name="_Toc164229234"/>
      <w:r/>
      <w:bookmarkStart w:id="541" w:name="_Toc264969229"/>
      <w:r/>
      <w:bookmarkStart w:id="542" w:name="_Toc305158807"/>
      <w:r/>
      <w:bookmarkStart w:id="543" w:name="_Toc195842904"/>
      <w:r/>
      <w:bookmarkStart w:id="544" w:name="_Toc150774639"/>
      <w:r/>
      <w:bookmarkStart w:id="545" w:name="_Toc151193927"/>
      <w:r/>
      <w:bookmarkStart w:id="546" w:name="_Toc164608808"/>
      <w:r/>
      <w:bookmarkStart w:id="547" w:name="_Toc164229380"/>
      <w:r/>
      <w:bookmarkStart w:id="548" w:name="_Toc164351633"/>
      <w:r/>
      <w:bookmarkStart w:id="549" w:name="_Toc151193853"/>
      <w:r/>
      <w:bookmarkStart w:id="550" w:name="_Toc149720832"/>
      <w:r/>
      <w:bookmarkStart w:id="551" w:name="_Toc226337235"/>
      <w:r/>
      <w:bookmarkStart w:id="552" w:name="_Toc151193637"/>
      <w:r/>
      <w:bookmarkStart w:id="553" w:name="_Toc520356164"/>
      <w:r/>
      <w:bookmarkStart w:id="554" w:name="_Toc151193781"/>
      <w:r/>
      <w:bookmarkStart w:id="555" w:name="_Toc164608653"/>
      <w:r/>
      <w:bookmarkStart w:id="556" w:name="_Toc151190166"/>
      <w:r/>
      <w:bookmarkStart w:id="557" w:name="_Toc127151539"/>
      <w:r/>
      <w:bookmarkStart w:id="558" w:name="_Toc305158881"/>
      <w:r/>
      <w:bookmarkStart w:id="559" w:name="_Toc150480777"/>
      <w:r/>
      <w:bookmarkStart w:id="560" w:name="_Toc142311041"/>
      <w:r/>
      <w:bookmarkStart w:id="561" w:name="_Toc150774744"/>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6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6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50480778"/>
      <w:r/>
      <w:bookmarkStart w:id="565" w:name="_Toc226309784"/>
      <w:r/>
      <w:bookmarkStart w:id="566" w:name="_Toc164229235"/>
      <w:r/>
      <w:bookmarkStart w:id="567" w:name="_Toc127151540"/>
      <w:r/>
      <w:bookmarkStart w:id="568" w:name="_Toc265228378"/>
      <w:r/>
      <w:bookmarkStart w:id="569" w:name="_Toc226965730"/>
      <w:r/>
      <w:bookmarkStart w:id="570" w:name="_Toc151193928"/>
      <w:r/>
      <w:bookmarkStart w:id="571" w:name="_Toc264969230"/>
      <w:r/>
      <w:bookmarkStart w:id="572" w:name="_Toc164351634"/>
      <w:r/>
      <w:bookmarkStart w:id="573" w:name="_Toc151193710"/>
      <w:r/>
      <w:bookmarkStart w:id="574" w:name="_Toc305158882"/>
      <w:r/>
      <w:bookmarkStart w:id="575" w:name="_Toc127161454"/>
      <w:r/>
      <w:bookmarkStart w:id="576" w:name="_Toc150774640"/>
      <w:r/>
      <w:bookmarkStart w:id="577" w:name="_Toc151193854"/>
      <w:r/>
      <w:bookmarkStart w:id="578" w:name="_Toc164608809"/>
      <w:r/>
      <w:bookmarkStart w:id="579" w:name="_Toc195842905"/>
      <w:r/>
      <w:bookmarkStart w:id="580" w:name="_Toc151193638"/>
      <w:r/>
      <w:bookmarkStart w:id="581" w:name="_Toc150774745"/>
      <w:r/>
      <w:bookmarkStart w:id="582" w:name="_Toc226337236"/>
      <w:r/>
      <w:bookmarkStart w:id="583" w:name="_Toc127151741"/>
      <w:r/>
      <w:bookmarkStart w:id="584" w:name="_Toc164229381"/>
      <w:r/>
      <w:bookmarkStart w:id="585" w:name="_Toc142311042"/>
      <w:r/>
      <w:bookmarkStart w:id="586" w:name="_Toc164608654"/>
      <w:r/>
      <w:bookmarkStart w:id="587" w:name="_Toc150509291"/>
      <w:r/>
      <w:bookmarkStart w:id="588" w:name="_Toc226965813"/>
      <w:r/>
      <w:bookmarkStart w:id="589" w:name="_Toc149720833"/>
      <w:r/>
      <w:bookmarkStart w:id="590" w:name="_Toc151190167"/>
      <w:r/>
      <w:bookmarkStart w:id="591" w:name="_Toc30515880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6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ind w:firstLine="562"/>
        <w:spacing w:before="0" w:line="360" w:lineRule="auto"/>
        <w:rPr>
          <w:rFonts w:hint="eastAsia" w:ascii="宋体" w:hAnsi="宋体" w:eastAsia="宋体" w:cs="宋体"/>
          <w:sz w:val="28"/>
        </w:rPr>
      </w:pPr>
      <w:r/>
      <w:bookmarkStart w:id="594" w:name="_Toc226965735"/>
      <w:r/>
      <w:bookmarkStart w:id="595" w:name="_Toc264969235"/>
      <w:r/>
      <w:bookmarkStart w:id="596" w:name="_Toc150774750"/>
      <w:r/>
      <w:bookmarkStart w:id="597" w:name="_Toc195842910"/>
      <w:r/>
      <w:bookmarkStart w:id="598" w:name="_Toc305158887"/>
      <w:r/>
      <w:bookmarkStart w:id="599" w:name="_Toc151193933"/>
      <w:r/>
      <w:bookmarkStart w:id="600" w:name="_Toc151193715"/>
      <w:r/>
      <w:bookmarkStart w:id="601" w:name="_Toc305158813"/>
      <w:r/>
      <w:bookmarkStart w:id="602" w:name="_Toc127151545"/>
      <w:r/>
      <w:bookmarkStart w:id="603" w:name="_Toc150480783"/>
      <w:r/>
      <w:bookmarkStart w:id="604" w:name="_Toc151193859"/>
      <w:r/>
      <w:bookmarkStart w:id="605" w:name="_Toc226309789"/>
      <w:r/>
      <w:bookmarkStart w:id="606" w:name="_Toc151193643"/>
      <w:r/>
      <w:bookmarkStart w:id="607" w:name="_Toc226965818"/>
      <w:r/>
      <w:bookmarkStart w:id="608" w:name="_Toc150509296"/>
      <w:r/>
      <w:bookmarkStart w:id="609" w:name="_Toc151190172"/>
      <w:r/>
      <w:bookmarkStart w:id="610" w:name="_Toc226337241"/>
      <w:r/>
      <w:bookmarkStart w:id="611" w:name="_Toc142311047"/>
      <w:r/>
      <w:bookmarkStart w:id="612" w:name="_Toc151193787"/>
      <w:r/>
      <w:bookmarkStart w:id="613" w:name="_Toc265228383"/>
      <w:r/>
      <w:bookmarkStart w:id="614" w:name="_Toc1507746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61461"/>
      <w:r/>
      <w:bookmarkStart w:id="616" w:name="_Toc164351641"/>
      <w:r/>
      <w:bookmarkStart w:id="617" w:name="_Toc264969237"/>
      <w:r/>
      <w:bookmarkStart w:id="618" w:name="_Toc150480785"/>
      <w:r/>
      <w:bookmarkStart w:id="619" w:name="_Toc195842912"/>
      <w:r/>
      <w:bookmarkStart w:id="620" w:name="_Toc151193861"/>
      <w:r/>
      <w:bookmarkStart w:id="621" w:name="_Toc150509298"/>
      <w:r/>
      <w:bookmarkStart w:id="622" w:name="_Toc226965820"/>
      <w:r/>
      <w:bookmarkStart w:id="623" w:name="_Toc149720840"/>
      <w:r/>
      <w:bookmarkStart w:id="624" w:name="_Toc151193717"/>
      <w:r/>
      <w:bookmarkStart w:id="625" w:name="_Toc151193789"/>
      <w:r/>
      <w:bookmarkStart w:id="626" w:name="_Toc142311049"/>
      <w:r/>
      <w:bookmarkStart w:id="627" w:name="_Toc265228385"/>
      <w:r/>
      <w:bookmarkStart w:id="628" w:name="_Toc164229242"/>
      <w:r/>
      <w:bookmarkStart w:id="629" w:name="_Toc151193645"/>
      <w:r/>
      <w:bookmarkStart w:id="630" w:name="_Toc151193935"/>
      <w:r/>
      <w:bookmarkStart w:id="631" w:name="_Toc127151547"/>
      <w:r/>
      <w:bookmarkStart w:id="632" w:name="_Toc151190174"/>
      <w:r/>
      <w:bookmarkStart w:id="633" w:name="_Toc305158815"/>
      <w:r/>
      <w:bookmarkStart w:id="634" w:name="_Toc150774647"/>
      <w:r/>
      <w:bookmarkStart w:id="635" w:name="_Toc164229388"/>
      <w:r/>
      <w:bookmarkStart w:id="636" w:name="_Toc226965737"/>
      <w:r/>
      <w:bookmarkStart w:id="637" w:name="_Toc150774752"/>
      <w:r/>
      <w:bookmarkStart w:id="638" w:name="_Toc164608661"/>
      <w:r/>
      <w:bookmarkStart w:id="639" w:name="_Toc226337243"/>
      <w:r/>
      <w:bookmarkStart w:id="640" w:name="_Toc127151748"/>
      <w:r/>
      <w:bookmarkStart w:id="641" w:name="_Toc164608816"/>
      <w:r/>
      <w:bookmarkStart w:id="642" w:name="_Toc305158889"/>
      <w:r/>
      <w:bookmarkStart w:id="643" w:name="_Toc226309791"/>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49720842"/>
      <w:r/>
      <w:bookmarkStart w:id="645" w:name="_Toc226309793"/>
      <w:r/>
      <w:bookmarkStart w:id="646" w:name="_Toc164229244"/>
      <w:r/>
      <w:bookmarkStart w:id="647" w:name="_Toc164229390"/>
      <w:r/>
      <w:bookmarkStart w:id="648" w:name="_Toc151193791"/>
      <w:r/>
      <w:bookmarkStart w:id="649" w:name="_Toc150480787"/>
      <w:r/>
      <w:bookmarkStart w:id="650" w:name="_Toc305158891"/>
      <w:r/>
      <w:bookmarkStart w:id="651" w:name="_Toc150509300"/>
      <w:r/>
      <w:bookmarkStart w:id="652" w:name="_Toc520356176"/>
      <w:r/>
      <w:bookmarkStart w:id="653" w:name="_Ref467307090"/>
      <w:r/>
      <w:bookmarkStart w:id="654" w:name="_Ref467306425"/>
      <w:r/>
      <w:bookmarkStart w:id="655" w:name="_Toc151193647"/>
      <w:r/>
      <w:bookmarkStart w:id="656" w:name="_Toc164608818"/>
      <w:r/>
      <w:bookmarkStart w:id="657" w:name="_Toc150774754"/>
      <w:r/>
      <w:bookmarkStart w:id="658" w:name="_Toc226337245"/>
      <w:r/>
      <w:bookmarkStart w:id="659" w:name="_Toc164351643"/>
      <w:r/>
      <w:bookmarkStart w:id="660" w:name="_Toc127161463"/>
      <w:r/>
      <w:bookmarkStart w:id="661" w:name="_Toc305158817"/>
      <w:r/>
      <w:bookmarkStart w:id="662" w:name="_Toc195842914"/>
      <w:r/>
      <w:bookmarkStart w:id="663" w:name="_Toc264969239"/>
      <w:r/>
      <w:bookmarkStart w:id="664" w:name="_Toc150774649"/>
      <w:r/>
      <w:bookmarkStart w:id="665" w:name="_Toc142311051"/>
      <w:r/>
      <w:bookmarkStart w:id="666" w:name="_Toc151193719"/>
      <w:r/>
      <w:bookmarkStart w:id="667" w:name="_Toc226965739"/>
      <w:r/>
      <w:bookmarkStart w:id="668" w:name="_Toc151190176"/>
      <w:r/>
      <w:bookmarkStart w:id="669" w:name="_Toc226965822"/>
      <w:r/>
      <w:bookmarkStart w:id="670" w:name="_Toc265228387"/>
      <w:r/>
      <w:bookmarkStart w:id="671" w:name="_Toc151193937"/>
      <w:r/>
      <w:bookmarkStart w:id="672" w:name="_Toc127151549"/>
      <w:r/>
      <w:bookmarkStart w:id="673" w:name="_Toc127151750"/>
      <w:r/>
      <w:bookmarkStart w:id="674" w:name="_Toc151193863"/>
      <w:r/>
      <w:bookmarkStart w:id="675" w:name="_Toc16460866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68"/>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755"/>
      <w:r/>
      <w:bookmarkStart w:id="677" w:name="_Toc226337246"/>
      <w:r/>
      <w:bookmarkStart w:id="678" w:name="_Toc127151751"/>
      <w:r/>
      <w:bookmarkStart w:id="679" w:name="_Toc164608664"/>
      <w:r/>
      <w:bookmarkStart w:id="680" w:name="_Toc151193792"/>
      <w:r/>
      <w:bookmarkStart w:id="681" w:name="_Toc305158818"/>
      <w:r/>
      <w:bookmarkStart w:id="682" w:name="_Toc265228388"/>
      <w:r/>
      <w:bookmarkStart w:id="683" w:name="_Toc164608819"/>
      <w:r/>
      <w:bookmarkStart w:id="684" w:name="_Toc127151550"/>
      <w:r/>
      <w:bookmarkStart w:id="685" w:name="_Toc305158892"/>
      <w:r/>
      <w:bookmarkStart w:id="686" w:name="_Toc151190177"/>
      <w:r/>
      <w:bookmarkStart w:id="687" w:name="_Ref467306377"/>
      <w:r/>
      <w:bookmarkStart w:id="688" w:name="_Toc127161464"/>
      <w:r/>
      <w:bookmarkStart w:id="689" w:name="_Toc149720843"/>
      <w:r/>
      <w:bookmarkStart w:id="690" w:name="_Toc164351644"/>
      <w:r/>
      <w:bookmarkStart w:id="691" w:name="_Toc151193864"/>
      <w:r/>
      <w:bookmarkStart w:id="692" w:name="_Toc150774650"/>
      <w:r/>
      <w:bookmarkStart w:id="693" w:name="_Toc226965740"/>
      <w:r/>
      <w:bookmarkStart w:id="694" w:name="_Toc164229245"/>
      <w:r/>
      <w:bookmarkStart w:id="695" w:name="_Toc151193648"/>
      <w:r/>
      <w:bookmarkStart w:id="696" w:name="_Toc195842915"/>
      <w:r/>
      <w:bookmarkStart w:id="697" w:name="_Toc264969240"/>
      <w:r/>
      <w:bookmarkStart w:id="698" w:name="_Toc226309794"/>
      <w:r/>
      <w:bookmarkStart w:id="699" w:name="_Toc150480788"/>
      <w:r/>
      <w:bookmarkStart w:id="700" w:name="_Toc150509301"/>
      <w:r/>
      <w:bookmarkStart w:id="701" w:name="_Ref467306978"/>
      <w:r/>
      <w:bookmarkStart w:id="702" w:name="_Toc164229391"/>
      <w:r/>
      <w:bookmarkStart w:id="703" w:name="_Ref467307204"/>
      <w:r/>
      <w:bookmarkStart w:id="704" w:name="_Toc151193720"/>
      <w:r/>
      <w:bookmarkStart w:id="705" w:name="_Toc226965823"/>
      <w:r/>
      <w:bookmarkStart w:id="706" w:name="_Ref467307062"/>
      <w:r/>
      <w:bookmarkStart w:id="707" w:name="_Toc151193938"/>
      <w:r/>
      <w:bookmarkStart w:id="708" w:name="_Toc142311052"/>
      <w:r/>
      <w:bookmarkStart w:id="709" w:name="_Toc520356175"/>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8"/>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4"/>
          <w:rFonts w:hint="eastAsia" w:ascii="宋体" w:hAnsi="宋体" w:cs="宋体"/>
          <w:color w:val="000000"/>
        </w:rPr>
        <w:t xml:space="preserve">http://gk</w:t>
      </w:r>
      <w:bookmarkStart w:id="710" w:name="_Hlt100654014"/>
      <w:r>
        <w:rPr>
          <w:rStyle w:val="1144"/>
          <w:rFonts w:hint="eastAsia" w:ascii="宋体" w:hAnsi="宋体" w:cs="宋体"/>
          <w:color w:val="000000"/>
        </w:rPr>
        <w:t xml:space="preserve">s</w:t>
      </w:r>
      <w:bookmarkEnd w:id="710"/>
      <w:r>
        <w:rPr>
          <w:rStyle w:val="1144"/>
          <w:rFonts w:hint="eastAsia" w:ascii="宋体" w:hAnsi="宋体" w:cs="宋体"/>
          <w:color w:val="000000"/>
        </w:rPr>
        <w:t xml:space="preserve">.m</w:t>
      </w:r>
      <w:bookmarkStart w:id="711" w:name="_Hlt100653993"/>
      <w:r/>
      <w:bookmarkStart w:id="712" w:name="_Hlt100653994"/>
      <w:r>
        <w:rPr>
          <w:rStyle w:val="1144"/>
          <w:rFonts w:hint="eastAsia" w:ascii="宋体" w:hAnsi="宋体" w:cs="宋体"/>
          <w:color w:val="000000"/>
        </w:rPr>
        <w:t xml:space="preserve">o</w:t>
      </w:r>
      <w:bookmarkEnd w:id="711"/>
      <w:r/>
      <w:bookmarkEnd w:id="712"/>
      <w:r>
        <w:rPr>
          <w:rStyle w:val="114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8"/>
        <w:jc w:val="center"/>
        <w:spacing w:line="360" w:lineRule="auto"/>
        <w:rPr>
          <w:rFonts w:hint="eastAsia" w:ascii="宋体" w:hAnsi="宋体" w:cs="宋体"/>
          <w:b/>
          <w:sz w:val="36"/>
          <w:szCs w:val="36"/>
        </w:rPr>
        <w:outlineLvl w:val="0"/>
      </w:pPr>
      <w:r/>
      <w:bookmarkStart w:id="713" w:name="_Toc150774759"/>
      <w:r/>
      <w:bookmarkStart w:id="714" w:name="_Toc150480792"/>
      <w:r/>
      <w:bookmarkStart w:id="715" w:name="_Toc353825544"/>
      <w:r/>
      <w:bookmarkStart w:id="716" w:name="_Toc353873934"/>
      <w:r/>
      <w:bookmarkStart w:id="717" w:name="_Toc226337250"/>
      <w:r/>
      <w:bookmarkStart w:id="718" w:name="_Toc264969244"/>
      <w:r/>
      <w:bookmarkStart w:id="719" w:name="_Toc305158896"/>
      <w:r/>
      <w:bookmarkStart w:id="720" w:name="_Toc142311056"/>
      <w:r/>
      <w:bookmarkStart w:id="721" w:name="_Toc226965827"/>
      <w:r/>
      <w:bookmarkStart w:id="722" w:name="_Toc353873664"/>
      <w:r/>
      <w:bookmarkStart w:id="723" w:name="_Toc127151554"/>
      <w:r/>
      <w:bookmarkStart w:id="724" w:name="_Toc305158822"/>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6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68"/>
        <w:jc w:val="left"/>
        <w:widowControl/>
        <w:rPr>
          <w:rFonts w:hint="eastAsia" w:ascii="宋体" w:hAnsi="宋体" w:cs="宋体"/>
          <w:sz w:val="24"/>
        </w:rPr>
      </w:pPr>
      <w:r>
        <w:rPr>
          <w:rFonts w:hint="eastAsia" w:ascii="宋体" w:hAnsi="宋体" w:cs="宋体"/>
          <w:sz w:val="24"/>
        </w:rPr>
      </w:r>
      <w:r/>
    </w:p>
    <w:p>
      <w:pPr>
        <w:pStyle w:val="106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6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6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6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6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068"/>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68"/>
              <w:tabs>
                <w:tab w:val="left" w:pos="1080" w:leader="none"/>
              </w:tabs>
              <w:rPr>
                <w:rFonts w:hint="eastAsia" w:ascii="宋体" w:hAnsi="宋体" w:cs="宋体"/>
                <w:sz w:val="24"/>
              </w:rPr>
            </w:pPr>
            <w:r>
              <w:rPr>
                <w:rFonts w:hint="eastAsia" w:ascii="宋体" w:hAnsi="宋体" w:cs="宋体"/>
                <w:sz w:val="24"/>
              </w:rPr>
            </w:r>
            <w:r/>
          </w:p>
          <w:p>
            <w:pPr>
              <w:pStyle w:val="1068"/>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1068"/>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6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226965858"/>
      <w:r/>
      <w:bookmarkStart w:id="732" w:name="_Toc127161490"/>
      <w:r/>
      <w:bookmarkStart w:id="733" w:name="_Toc127151779"/>
      <w:r/>
      <w:bookmarkStart w:id="734" w:name="_Toc353873940"/>
      <w:r>
        <w:rPr>
          <w:rFonts w:hint="eastAsia" w:ascii="宋体" w:hAnsi="宋体" w:cs="宋体"/>
          <w:sz w:val="24"/>
        </w:rPr>
        <w:br w:type="page" w:clear="all"/>
      </w:r>
      <w:r/>
    </w:p>
    <w:p>
      <w:pPr>
        <w:pStyle w:val="106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6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68"/>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229236"/>
      <w:r/>
      <w:bookmarkStart w:id="738" w:name="_Toc150774746"/>
      <w:r/>
      <w:bookmarkStart w:id="739" w:name="_Toc265228379"/>
      <w:r/>
      <w:bookmarkStart w:id="740" w:name="_Toc305158883"/>
      <w:r/>
      <w:bookmarkStart w:id="741" w:name="_Toc195842906"/>
      <w:r/>
      <w:bookmarkStart w:id="742" w:name="_Toc150480779"/>
      <w:r/>
      <w:bookmarkStart w:id="743" w:name="_Toc226337237"/>
      <w:r/>
      <w:bookmarkStart w:id="744" w:name="_Toc164608655"/>
      <w:r/>
      <w:bookmarkStart w:id="745" w:name="_Toc127161455"/>
      <w:r/>
      <w:bookmarkStart w:id="746" w:name="_Toc151193855"/>
      <w:r/>
      <w:bookmarkStart w:id="747" w:name="_Toc150774641"/>
      <w:r/>
      <w:bookmarkStart w:id="748" w:name="_Toc151193711"/>
      <w:r/>
      <w:bookmarkStart w:id="749" w:name="_Toc226965814"/>
      <w:r/>
      <w:bookmarkStart w:id="750" w:name="_Toc151193783"/>
      <w:r/>
      <w:bookmarkStart w:id="751" w:name="_Toc151193929"/>
      <w:r/>
      <w:bookmarkStart w:id="752" w:name="_Toc305158809"/>
      <w:r/>
      <w:bookmarkStart w:id="753" w:name="_Toc226965731"/>
      <w:r/>
      <w:bookmarkStart w:id="754" w:name="_Toc226309785"/>
      <w:r/>
      <w:bookmarkStart w:id="755" w:name="_Toc127151742"/>
      <w:r/>
      <w:bookmarkStart w:id="756" w:name="_Toc142311043"/>
      <w:r/>
      <w:bookmarkStart w:id="757" w:name="_Toc151193639"/>
      <w:r/>
      <w:bookmarkStart w:id="758" w:name="_Toc151190168"/>
      <w:r/>
      <w:bookmarkStart w:id="759" w:name="_Toc149720834"/>
      <w:r/>
      <w:bookmarkStart w:id="760" w:name="_Toc164229382"/>
      <w:r/>
      <w:bookmarkStart w:id="761" w:name="_Toc150509292"/>
      <w:r/>
      <w:bookmarkStart w:id="762" w:name="_Toc164608810"/>
      <w:r/>
      <w:bookmarkStart w:id="763" w:name="_Toc264969231"/>
      <w:r/>
      <w:bookmarkStart w:id="764" w:name="_Toc164351635"/>
      <w:r/>
      <w:bookmarkStart w:id="765" w:name="_Toc127151541"/>
      <w:r/>
      <w:bookmarkStart w:id="766" w:name="_Toc353825551"/>
      <w:r/>
      <w:bookmarkStart w:id="767" w:name="_Toc353873941"/>
      <w:r/>
      <w:bookmarkStart w:id="768" w:name="_Toc305158897"/>
      <w:r/>
      <w:bookmarkStart w:id="769" w:name="_Toc142311057"/>
      <w:r/>
      <w:bookmarkStart w:id="770" w:name="_Toc305158823"/>
      <w:r/>
      <w:bookmarkStart w:id="771" w:name="_Toc353873935"/>
      <w:r/>
      <w:bookmarkStart w:id="772" w:name="_Toc353825545"/>
      <w:r/>
      <w:bookmarkStart w:id="773" w:name="_Toc150774760"/>
      <w:r/>
      <w:bookmarkStart w:id="774" w:name="_Toc226337251"/>
      <w:r/>
      <w:bookmarkStart w:id="775" w:name="_Toc353873665"/>
      <w:r/>
      <w:bookmarkStart w:id="776" w:name="_Toc265228393"/>
      <w:r/>
      <w:bookmarkStart w:id="777" w:name="_Toc226965828"/>
      <w:r/>
      <w:bookmarkStart w:id="778" w:name="_Toc150480793"/>
      <w:r/>
      <w:bookmarkStart w:id="779" w:name="_Toc127151555"/>
      <w:r/>
      <w:bookmarkStart w:id="780" w:name="_Toc195842920"/>
      <w:r/>
      <w:bookmarkStart w:id="781" w:name="_Toc2649692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分包意向协议</w:t>
            </w:r>
            <w:r/>
          </w:p>
          <w:p>
            <w:pPr>
              <w:pStyle w:val="106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进口产品</w:t>
            </w:r>
            <w:r/>
          </w:p>
          <w:p>
            <w:pPr>
              <w:pStyle w:val="106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6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6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6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6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6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6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6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6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（四）不同投标人的投标文件异常一致或者投标报价呈规律性差异；</w:t>
            </w:r>
            <w:r/>
          </w:p>
          <w:p>
            <w:pPr>
              <w:pStyle w:val="106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6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68"/>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305158888"/>
      <w:r/>
      <w:bookmarkStart w:id="784" w:name="_Toc151193716"/>
      <w:r/>
      <w:bookmarkStart w:id="785" w:name="_Toc150480784"/>
      <w:r/>
      <w:bookmarkStart w:id="786" w:name="_Toc195842911"/>
      <w:r/>
      <w:bookmarkStart w:id="787" w:name="_Toc164351640"/>
      <w:r/>
      <w:bookmarkStart w:id="788" w:name="_Toc164608815"/>
      <w:r/>
      <w:bookmarkStart w:id="789" w:name="_Toc164229387"/>
      <w:r/>
      <w:bookmarkStart w:id="790" w:name="_Toc151193788"/>
      <w:r/>
      <w:bookmarkStart w:id="791" w:name="_Toc127151747"/>
      <w:r/>
      <w:bookmarkStart w:id="792" w:name="_Ref467307010"/>
      <w:r/>
      <w:bookmarkStart w:id="793" w:name="_Toc151190173"/>
      <w:r/>
      <w:bookmarkStart w:id="794" w:name="_Toc150509297"/>
      <w:r/>
      <w:bookmarkStart w:id="795" w:name="_Toc151193860"/>
      <w:r/>
      <w:bookmarkStart w:id="796" w:name="_Toc265228384"/>
      <w:r/>
      <w:bookmarkStart w:id="797" w:name="_Toc164229241"/>
      <w:r/>
      <w:bookmarkStart w:id="798" w:name="_Toc150774646"/>
      <w:r/>
      <w:bookmarkStart w:id="799" w:name="_Toc150774751"/>
      <w:r/>
      <w:bookmarkStart w:id="800" w:name="_Toc151193934"/>
      <w:r/>
      <w:bookmarkStart w:id="801" w:name="_Toc127161460"/>
      <w:r/>
      <w:bookmarkStart w:id="802" w:name="_Toc226309790"/>
      <w:r/>
      <w:bookmarkStart w:id="803" w:name="_Toc149720839"/>
      <w:r/>
      <w:bookmarkStart w:id="804" w:name="_Toc226337242"/>
      <w:r/>
      <w:bookmarkStart w:id="805" w:name="_Toc142311048"/>
      <w:r/>
      <w:bookmarkStart w:id="806" w:name="_Toc151193644"/>
      <w:r/>
      <w:bookmarkStart w:id="807" w:name="_Toc127151546"/>
      <w:r/>
      <w:bookmarkStart w:id="808" w:name="_Toc305158814"/>
      <w:r/>
      <w:bookmarkStart w:id="809" w:name="_Toc226965736"/>
      <w:r/>
      <w:bookmarkStart w:id="810" w:name="_Toc264969236"/>
      <w:r/>
      <w:bookmarkStart w:id="811" w:name="_Toc164608660"/>
      <w:r/>
      <w:bookmarkStart w:id="812" w:name="_Toc226965819"/>
      <w:r/>
      <w:bookmarkStart w:id="813" w:name="_Toc52035617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0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68"/>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09"/>
        <w:gridCol w:w="878"/>
        <w:gridCol w:w="3837"/>
        <w:gridCol w:w="2354"/>
      </w:tblGrid>
      <w:tr>
        <w:trPr/>
        <w:tc>
          <w:tcPr>
            <w:tcW w:w="433" w:type="pct"/>
            <w:vAlign w:val="center"/>
            <w:textDirection w:val="lrTb"/>
            <w:noWrap w:val="false"/>
          </w:tcPr>
          <w:p>
            <w:pPr>
              <w:pStyle w:val="1068"/>
              <w:ind w:firstLine="28"/>
              <w:jc w:val="center"/>
              <w:rPr>
                <w:rFonts w:hint="eastAsia" w:ascii="宋体" w:hAnsi="宋体" w:cs="宋体"/>
                <w:b/>
                <w:sz w:val="24"/>
              </w:rPr>
            </w:pPr>
            <w:r>
              <w:rPr>
                <w:rFonts w:hint="eastAsia" w:ascii="宋体" w:hAnsi="宋体" w:cs="宋体"/>
                <w:b/>
                <w:sz w:val="24"/>
              </w:rPr>
              <w:t xml:space="preserve">序号</w:t>
            </w:r>
            <w:r/>
          </w:p>
        </w:tc>
        <w:tc>
          <w:tcPr>
            <w:tcW w:w="759" w:type="pct"/>
            <w:vAlign w:val="center"/>
            <w:textDirection w:val="lrTb"/>
            <w:noWrap w:val="false"/>
          </w:tcPr>
          <w:p>
            <w:pPr>
              <w:pStyle w:val="1068"/>
              <w:ind w:firstLine="28"/>
              <w:jc w:val="center"/>
              <w:rPr>
                <w:rFonts w:hint="eastAsia" w:ascii="宋体" w:hAnsi="宋体" w:cs="宋体"/>
                <w:b/>
                <w:sz w:val="24"/>
              </w:rPr>
            </w:pPr>
            <w:r>
              <w:rPr>
                <w:rFonts w:hint="eastAsia" w:ascii="宋体" w:hAnsi="宋体" w:cs="宋体"/>
                <w:b/>
                <w:sz w:val="24"/>
              </w:rPr>
              <w:t xml:space="preserve">评分因素</w:t>
            </w:r>
            <w:r/>
          </w:p>
        </w:tc>
        <w:tc>
          <w:tcPr>
            <w:tcW w:w="473" w:type="pct"/>
            <w:vAlign w:val="center"/>
            <w:textDirection w:val="lrTb"/>
            <w:noWrap w:val="false"/>
          </w:tcPr>
          <w:p>
            <w:pPr>
              <w:pStyle w:val="1068"/>
              <w:ind w:firstLine="28"/>
              <w:jc w:val="center"/>
              <w:rPr>
                <w:rFonts w:hint="eastAsia" w:ascii="宋体" w:hAnsi="宋体" w:cs="宋体"/>
                <w:b/>
                <w:sz w:val="24"/>
              </w:rPr>
            </w:pPr>
            <w:r>
              <w:rPr>
                <w:rFonts w:hint="eastAsia" w:ascii="宋体" w:hAnsi="宋体" w:cs="宋体"/>
                <w:b/>
                <w:sz w:val="24"/>
              </w:rPr>
              <w:t xml:space="preserve">分值</w:t>
            </w:r>
            <w:r/>
          </w:p>
        </w:tc>
        <w:tc>
          <w:tcPr>
            <w:tcW w:w="2066" w:type="pct"/>
            <w:vAlign w:val="center"/>
            <w:textDirection w:val="lrTb"/>
            <w:noWrap w:val="false"/>
          </w:tcPr>
          <w:p>
            <w:pPr>
              <w:pStyle w:val="1068"/>
              <w:ind w:firstLine="28"/>
              <w:jc w:val="center"/>
              <w:rPr>
                <w:rFonts w:hint="eastAsia" w:ascii="宋体" w:hAnsi="宋体" w:cs="宋体"/>
                <w:b/>
                <w:sz w:val="24"/>
              </w:rPr>
            </w:pPr>
            <w:r>
              <w:rPr>
                <w:rFonts w:hint="eastAsia" w:ascii="宋体" w:hAnsi="宋体" w:cs="宋体"/>
                <w:b/>
                <w:sz w:val="24"/>
              </w:rPr>
              <w:t xml:space="preserve">评分标准</w:t>
            </w:r>
            <w:r/>
          </w:p>
        </w:tc>
        <w:tc>
          <w:tcPr>
            <w:tcW w:w="1267" w:type="pct"/>
            <w:vAlign w:val="center"/>
            <w:textDirection w:val="lrTb"/>
            <w:noWrap w:val="false"/>
          </w:tcPr>
          <w:p>
            <w:pPr>
              <w:pStyle w:val="1313"/>
              <w:spacing w:before="0" w:after="0" w:line="240" w:lineRule="auto"/>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W w:w="433" w:type="pct"/>
            <w:vAlign w:val="center"/>
            <w:textDirection w:val="lrTb"/>
            <w:noWrap w:val="false"/>
          </w:tcPr>
          <w:p>
            <w:pPr>
              <w:pStyle w:val="1068"/>
              <w:ind w:firstLine="28"/>
              <w:jc w:val="center"/>
              <w:rPr>
                <w:rFonts w:hint="eastAsia" w:ascii="宋体" w:hAnsi="宋体" w:cs="宋体"/>
                <w:b/>
                <w:sz w:val="24"/>
              </w:rPr>
            </w:pPr>
            <w:r>
              <w:rPr>
                <w:rFonts w:hint="eastAsia" w:ascii="宋体" w:hAnsi="宋体" w:cs="宋体"/>
                <w:b/>
                <w:sz w:val="24"/>
              </w:rPr>
              <w:t xml:space="preserve">1</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价格分</w:t>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12</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68"/>
              <w:rPr>
                <w:rFonts w:hint="eastAsia" w:ascii="宋体" w:hAnsi="宋体" w:cs="宋体"/>
                <w:sz w:val="24"/>
              </w:rPr>
            </w:pPr>
            <w:r>
              <w:rPr>
                <w:rFonts w:hint="eastAsia" w:ascii="宋体" w:hAnsi="宋体" w:cs="宋体"/>
                <w:sz w:val="24"/>
              </w:rPr>
              <w:t xml:space="preserve">投标报价得分＝（评标基准价/投标报价）×分值。</w:t>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此处投标报价指经过报价修正，及因落实政府采购政策进行价格调整后的报价，详见第四章《评标方法和评标标准》2.</w:t>
            </w:r>
            <w:r>
              <w:rPr>
                <w:rFonts w:ascii="宋体" w:hAnsi="宋体" w:cs="宋体"/>
                <w:sz w:val="24"/>
              </w:rPr>
              <w:t xml:space="preserve">9</w:t>
            </w:r>
            <w:r>
              <w:rPr>
                <w:rFonts w:hint="eastAsia" w:ascii="宋体" w:hAnsi="宋体" w:cs="宋体"/>
                <w:sz w:val="24"/>
              </w:rPr>
              <w:t xml:space="preserve">及2.</w:t>
            </w:r>
            <w:r>
              <w:rPr>
                <w:rFonts w:ascii="宋体" w:hAnsi="宋体" w:cs="宋体"/>
                <w:sz w:val="24"/>
              </w:rPr>
              <w:t xml:space="preserve">10</w:t>
            </w:r>
            <w:r>
              <w:rPr>
                <w:rFonts w:hint="eastAsia" w:ascii="宋体" w:hAnsi="宋体" w:cs="宋体"/>
                <w:sz w:val="24"/>
              </w:rPr>
              <w:t xml:space="preserve">。</w:t>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主观分</w:t>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28</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2.1</w:t>
            </w:r>
            <w:r/>
          </w:p>
        </w:tc>
        <w:tc>
          <w:tcPr>
            <w:tcW w:w="759"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b/>
                <w:bCs/>
                <w:sz w:val="24"/>
              </w:rPr>
              <w:t xml:space="preserve">实施方案</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结合住宅专项维修资金使用相关政策以及本项目的要求，根据投标人提供的审计实施大纲完整、详细、工作思路清晰，审计目标明确，审计工作的内容、方法得当，要有针对性，由评委进行综合评价；思路清晰、目标明确、针对性强的得8分；思路较清晰、目标较明确、针对性较强的得6分；思路基本清晰、目标基本明确、针对性一般的得4分；方案简单、粗糙的得2分；未提供不得分。</w:t>
            </w: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2.2</w:t>
            </w:r>
            <w:r/>
          </w:p>
        </w:tc>
        <w:tc>
          <w:tcPr>
            <w:tcW w:w="759"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b/>
                <w:bCs/>
                <w:sz w:val="24"/>
              </w:rPr>
              <w:t xml:space="preserve">项目组织</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5</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项目组人员岗位职责明确，专业安排齐全、合理。由评委进行综合评审；方案内容全面、可行的得5分；方案内容相对全面、较为可行的得3分；方案简单、粗糙的得1分；未提供不得分。</w:t>
            </w: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2.3</w:t>
            </w:r>
            <w:r/>
          </w:p>
        </w:tc>
        <w:tc>
          <w:tcPr>
            <w:tcW w:w="759"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b/>
                <w:bCs/>
                <w:sz w:val="24"/>
              </w:rPr>
              <w:t xml:space="preserve">质量控制</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6</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内部质量控制制度完善，由评委进行综合评审；方案内容全面、可行的得6分；方案内容相对全面、较为可行的得4分；方案简单、粗糙的得2分；未提供不得分。</w:t>
            </w: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rHeight w:val="253"/>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2.4</w:t>
            </w:r>
            <w:r/>
          </w:p>
        </w:tc>
        <w:tc>
          <w:tcPr>
            <w:tcW w:w="759"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b/>
                <w:bCs/>
                <w:sz w:val="24"/>
              </w:rPr>
              <w:t xml:space="preserve">服务保障</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6</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服务质量承诺内容具体，针对性强，切实可行，并附有具体的违约责任及承诺</w:t>
            </w:r>
            <w:r>
              <w:rPr>
                <w:rFonts w:hint="eastAsia" w:ascii="宋体" w:hAnsi="宋体" w:cs="宋体"/>
                <w:sz w:val="24"/>
                <w:u w:val="single"/>
              </w:rPr>
              <w:t xml:space="preserve">，</w:t>
            </w:r>
            <w:r>
              <w:rPr>
                <w:rFonts w:hint="eastAsia" w:ascii="宋体" w:hAnsi="宋体" w:cs="宋体"/>
                <w:sz w:val="24"/>
              </w:rPr>
              <w:t xml:space="preserve">服务质量承诺切实可行且完整、全面的得6分；</w:t>
            </w:r>
            <w:r/>
          </w:p>
          <w:p>
            <w:pPr>
              <w:pStyle w:val="1068"/>
              <w:jc w:val="left"/>
              <w:widowControl/>
              <w:rPr>
                <w:rFonts w:hint="eastAsia" w:ascii="宋体" w:hAnsi="宋体" w:cs="宋体"/>
                <w:sz w:val="24"/>
              </w:rPr>
            </w:pPr>
            <w:r>
              <w:rPr>
                <w:rFonts w:hint="eastAsia" w:ascii="宋体" w:hAnsi="宋体" w:cs="宋体"/>
                <w:sz w:val="24"/>
              </w:rPr>
              <w:t xml:space="preserve">较为可行且较完整、较全面的得4分；</w:t>
            </w:r>
            <w:r/>
          </w:p>
          <w:p>
            <w:pPr>
              <w:pStyle w:val="1068"/>
              <w:jc w:val="left"/>
              <w:widowControl/>
              <w:rPr>
                <w:rFonts w:hint="eastAsia" w:ascii="宋体" w:hAnsi="宋体" w:cs="宋体"/>
                <w:sz w:val="24"/>
              </w:rPr>
            </w:pPr>
            <w:r>
              <w:rPr>
                <w:rFonts w:hint="eastAsia" w:ascii="宋体" w:hAnsi="宋体" w:cs="宋体"/>
                <w:sz w:val="24"/>
              </w:rPr>
              <w:t xml:space="preserve">不太可行且不完整、不全面的得2分；</w:t>
            </w:r>
            <w:r/>
          </w:p>
          <w:p>
            <w:pPr>
              <w:pStyle w:val="1068"/>
              <w:jc w:val="left"/>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2.5</w:t>
            </w:r>
            <w:r/>
          </w:p>
        </w:tc>
        <w:tc>
          <w:tcPr>
            <w:tcW w:w="759"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b/>
                <w:bCs/>
                <w:sz w:val="24"/>
              </w:rPr>
              <w:t xml:space="preserve">合理化建议</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针对本项目特点，提出合理化建议，由评委进行综合评审。</w:t>
            </w:r>
            <w:r/>
          </w:p>
          <w:p>
            <w:pPr>
              <w:pStyle w:val="1068"/>
              <w:jc w:val="left"/>
              <w:widowControl/>
              <w:rPr>
                <w:rFonts w:hint="eastAsia" w:ascii="宋体" w:hAnsi="宋体" w:cs="宋体"/>
                <w:sz w:val="24"/>
              </w:rPr>
            </w:pPr>
            <w:r>
              <w:rPr>
                <w:rFonts w:hint="eastAsia" w:ascii="宋体" w:hAnsi="宋体" w:cs="宋体"/>
                <w:sz w:val="24"/>
              </w:rPr>
              <w:t xml:space="preserve">针对问题提出恰当审计建议的，反映的问题、原因、建议内容全面、可行的得3分；</w:t>
            </w:r>
            <w:r/>
          </w:p>
          <w:p>
            <w:pPr>
              <w:pStyle w:val="1068"/>
              <w:jc w:val="left"/>
              <w:widowControl/>
              <w:rPr>
                <w:rFonts w:hint="eastAsia" w:ascii="宋体" w:hAnsi="宋体" w:cs="宋体"/>
                <w:sz w:val="24"/>
              </w:rPr>
            </w:pPr>
            <w:r>
              <w:rPr>
                <w:rFonts w:hint="eastAsia" w:ascii="宋体" w:hAnsi="宋体" w:cs="宋体"/>
                <w:sz w:val="24"/>
              </w:rPr>
              <w:t xml:space="preserve">内容相对全面、较为可行的得2分；</w:t>
            </w:r>
            <w:r/>
          </w:p>
          <w:p>
            <w:pPr>
              <w:pStyle w:val="1068"/>
              <w:jc w:val="left"/>
              <w:widowControl/>
            </w:pPr>
            <w:r>
              <w:rPr>
                <w:rFonts w:hint="eastAsia" w:ascii="宋体" w:hAnsi="宋体" w:cs="宋体"/>
                <w:sz w:val="24"/>
              </w:rPr>
              <w:t xml:space="preserve">方案简单、粗糙的得1分；</w:t>
            </w:r>
            <w:r/>
          </w:p>
          <w:p>
            <w:pPr>
              <w:pStyle w:val="1068"/>
              <w:jc w:val="left"/>
              <w:widowControl/>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客观分</w:t>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60</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r>
            <w:r/>
          </w:p>
        </w:tc>
        <w:tc>
          <w:tcPr>
            <w:tcW w:w="1267" w:type="pct"/>
            <w:vAlign w:val="center"/>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3.1</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b/>
                <w:bCs/>
                <w:sz w:val="24"/>
              </w:rPr>
              <w:t xml:space="preserve">团队人员</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在满足团队人员最低配置12人的基础上，每增加1名团队人员，得0.5分，本项最高得3分。</w:t>
            </w:r>
            <w:r/>
          </w:p>
          <w:p>
            <w:pPr>
              <w:pStyle w:val="1068"/>
              <w:rPr>
                <w:rFonts w:hint="eastAsia" w:ascii="宋体" w:hAnsi="宋体" w:cs="宋体"/>
                <w:b/>
                <w:bCs/>
                <w:sz w:val="24"/>
              </w:rPr>
            </w:pPr>
            <w:r>
              <w:rPr>
                <w:rFonts w:hint="eastAsia" w:ascii="宋体" w:hAnsi="宋体" w:cs="宋体"/>
                <w:b/>
                <w:bCs/>
                <w:sz w:val="24"/>
              </w:rPr>
            </w:r>
            <w:r/>
          </w:p>
          <w:p>
            <w:pPr>
              <w:pStyle w:val="1068"/>
              <w:rPr>
                <w:rFonts w:hint="eastAsia" w:ascii="宋体" w:hAnsi="宋体" w:cs="宋体"/>
                <w:sz w:val="24"/>
              </w:rPr>
            </w:pPr>
            <w:r>
              <w:rPr>
                <w:rFonts w:hint="eastAsia" w:ascii="宋体" w:hAnsi="宋体" w:cs="宋体"/>
                <w:b/>
                <w:bCs/>
                <w:sz w:val="24"/>
              </w:rPr>
              <w:t xml:space="preserve">注：3.2-3.8评审涉及人员须在团队人员名单内，不在名单内的人员不参与后续评审。</w:t>
            </w:r>
            <w:r>
              <w:rPr>
                <w:rFonts w:hint="eastAsia" w:ascii="宋体" w:hAnsi="宋体" w:cs="宋体"/>
                <w:sz w:val="24"/>
              </w:rPr>
            </w:r>
            <w:r/>
          </w:p>
        </w:tc>
        <w:tc>
          <w:tcPr>
            <w:tcW w:w="1267" w:type="pct"/>
            <w:vAlign w:val="center"/>
            <w:textDirection w:val="lrTb"/>
            <w:noWrap w:val="false"/>
          </w:tcPr>
          <w:p>
            <w:pPr>
              <w:pStyle w:val="1068"/>
              <w:ind w:left="-38"/>
              <w:jc w:val="left"/>
              <w:rPr>
                <w:rFonts w:hint="eastAsia" w:ascii="宋体" w:hAnsi="宋体" w:cs="宋体"/>
                <w:b/>
                <w:bCs/>
                <w:sz w:val="24"/>
              </w:rPr>
            </w:pPr>
            <w:r>
              <w:rPr>
                <w:rFonts w:hint="eastAsia" w:ascii="宋体" w:hAnsi="宋体" w:cs="宋体"/>
                <w:b/>
                <w:bCs/>
                <w:sz w:val="24"/>
              </w:rPr>
              <w:t xml:space="preserve">提供①团队人员全部名单、②投标人为上述人员缴纳的2026年1月-5月中任意连续3个月的社保证明材料。</w:t>
            </w:r>
            <w:r/>
          </w:p>
          <w:p>
            <w:pPr>
              <w:pStyle w:val="1068"/>
              <w:ind w:left="-38"/>
              <w:jc w:val="left"/>
              <w:rPr>
                <w:rFonts w:hint="eastAsia" w:ascii="宋体" w:hAnsi="宋体" w:cs="宋体"/>
                <w:b/>
                <w:bCs/>
                <w:sz w:val="24"/>
              </w:rPr>
            </w:pPr>
            <w:r>
              <w:rPr>
                <w:rFonts w:hint="eastAsia" w:ascii="宋体" w:hAnsi="宋体" w:cs="宋体"/>
                <w:b/>
                <w:bCs/>
                <w:sz w:val="24"/>
              </w:rPr>
              <w:t xml:space="preserve">上述材料加盖投标人公章，未提供或缺项的不得分。</w:t>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3.2</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b/>
                <w:bCs/>
                <w:sz w:val="24"/>
              </w:rPr>
              <w:t xml:space="preserve">拟派项目负责人（1人）</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①具有工程类高级职称得3分；</w:t>
            </w:r>
            <w:r/>
          </w:p>
          <w:p>
            <w:pPr>
              <w:pStyle w:val="1068"/>
              <w:jc w:val="left"/>
              <w:widowControl/>
              <w:rPr>
                <w:rFonts w:hint="eastAsia" w:ascii="宋体" w:hAnsi="宋体" w:cs="宋体"/>
                <w:sz w:val="24"/>
              </w:rPr>
            </w:pPr>
            <w:r>
              <w:rPr>
                <w:rFonts w:hint="eastAsia" w:ascii="宋体" w:hAnsi="宋体" w:cs="宋体"/>
                <w:sz w:val="24"/>
              </w:rPr>
              <w:t xml:space="preserve">②具有除国家注册一级造价工程师证书外的其他国家级执业资格，每有1项加2分；具有其他省级执业资格的每有1项加1分；满分5分。</w:t>
            </w:r>
            <w:r/>
          </w:p>
          <w:p>
            <w:pPr>
              <w:pStyle w:val="1068"/>
              <w:rPr>
                <w:rFonts w:hint="eastAsia" w:ascii="宋体" w:hAnsi="宋体" w:cs="宋体"/>
                <w:sz w:val="24"/>
              </w:rPr>
            </w:pPr>
            <w:r>
              <w:rPr>
                <w:rFonts w:hint="eastAsia" w:ascii="宋体" w:hAnsi="宋体" w:cs="宋体"/>
                <w:sz w:val="24"/>
              </w:rPr>
              <w:t xml:space="preserve">本项最高得8分。</w:t>
            </w:r>
            <w:r>
              <w:rPr>
                <w:rFonts w:hint="eastAsia" w:ascii="宋体" w:hAnsi="宋体" w:cs="宋体"/>
                <w:sz w:val="24"/>
              </w:rPr>
            </w:r>
            <w:r/>
          </w:p>
        </w:tc>
        <w:tc>
          <w:tcPr>
            <w:tcW w:w="1267" w:type="pct"/>
            <w:vAlign w:val="center"/>
            <w:vMerge w:val="restart"/>
            <w:textDirection w:val="lrTb"/>
            <w:noWrap w:val="false"/>
          </w:tcPr>
          <w:p>
            <w:pPr>
              <w:pStyle w:val="1068"/>
              <w:rPr>
                <w:rFonts w:hint="eastAsia" w:ascii="宋体" w:hAnsi="宋体" w:cs="宋体"/>
                <w:b/>
                <w:bCs/>
                <w:sz w:val="24"/>
              </w:rPr>
            </w:pPr>
            <w:r>
              <w:rPr>
                <w:rFonts w:hint="eastAsia" w:ascii="宋体" w:hAnsi="宋体" w:cs="宋体"/>
                <w:sz w:val="24"/>
              </w:rPr>
              <w:t xml:space="preserve">提供人员证书复印件并</w:t>
            </w:r>
            <w:r>
              <w:rPr>
                <w:rFonts w:hint="eastAsia" w:ascii="宋体" w:hAnsi="宋体" w:cs="宋体"/>
                <w:b/>
                <w:bCs/>
                <w:sz w:val="24"/>
              </w:rPr>
              <w:t xml:space="preserve">加盖投标人公章，否则不得分。</w:t>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3.3</w:t>
            </w:r>
            <w:r/>
          </w:p>
        </w:tc>
        <w:tc>
          <w:tcPr>
            <w:tcW w:w="759" w:type="pct"/>
            <w:vAlign w:val="center"/>
            <w:vMerge w:val="restart"/>
            <w:textDirection w:val="lrTb"/>
            <w:noWrap w:val="false"/>
          </w:tcPr>
          <w:p>
            <w:pPr>
              <w:pStyle w:val="1068"/>
              <w:ind w:firstLine="28"/>
              <w:jc w:val="center"/>
              <w:rPr>
                <w:rFonts w:hint="eastAsia" w:ascii="宋体" w:hAnsi="宋体" w:cs="宋体"/>
                <w:sz w:val="24"/>
              </w:rPr>
            </w:pPr>
            <w:r>
              <w:rPr>
                <w:rFonts w:hint="eastAsia" w:ascii="宋体" w:hAnsi="宋体" w:cs="宋体"/>
                <w:b/>
                <w:bCs/>
                <w:sz w:val="24"/>
              </w:rPr>
              <w:t xml:space="preserve">拟派项目组成员（不含项目负责人）</w:t>
            </w: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14</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具有土建专业（土木建筑）</w:t>
            </w:r>
            <w:r>
              <w:rPr>
                <w:rFonts w:ascii="宋体" w:hAnsi="宋体" w:cs="宋体"/>
                <w:sz w:val="24"/>
              </w:rPr>
              <w:t xml:space="preserve">国家注册一级造价工程师</w:t>
            </w:r>
            <w:r>
              <w:rPr>
                <w:rFonts w:hint="eastAsia" w:ascii="宋体" w:hAnsi="宋体" w:cs="宋体"/>
                <w:sz w:val="24"/>
              </w:rPr>
              <w:t xml:space="preserve">，有一人得2分，本项最高得14分。</w:t>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3.4</w:t>
            </w:r>
            <w:r/>
          </w:p>
        </w:tc>
        <w:tc>
          <w:tcPr>
            <w:tcW w:w="759" w:type="pct"/>
            <w:vAlign w:val="center"/>
            <w:vMerge w:val="continue"/>
            <w:textDirection w:val="lrTb"/>
            <w:noWrap w:val="false"/>
          </w:tcPr>
          <w:p>
            <w:pPr>
              <w:pStyle w:val="1068"/>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4</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具有安装专业</w:t>
            </w:r>
            <w:r>
              <w:rPr>
                <w:rFonts w:ascii="宋体" w:hAnsi="宋体" w:cs="宋体"/>
                <w:sz w:val="24"/>
              </w:rPr>
              <w:t xml:space="preserve">国家注册一级造价工程师</w:t>
            </w:r>
            <w:r>
              <w:rPr>
                <w:rFonts w:hint="eastAsia" w:ascii="宋体" w:hAnsi="宋体" w:cs="宋体"/>
                <w:sz w:val="24"/>
              </w:rPr>
              <w:t xml:space="preserve">，有一人得1分，本项最高得4分。</w:t>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3.5</w:t>
            </w:r>
            <w:r/>
          </w:p>
        </w:tc>
        <w:tc>
          <w:tcPr>
            <w:tcW w:w="759" w:type="pct"/>
            <w:vAlign w:val="center"/>
            <w:vMerge w:val="continue"/>
            <w:textDirection w:val="lrTb"/>
            <w:noWrap w:val="false"/>
          </w:tcPr>
          <w:p>
            <w:pPr>
              <w:pStyle w:val="1068"/>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4</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具有注册监理工程师的，有一人得1分，</w:t>
            </w:r>
            <w:r>
              <w:rPr>
                <w:rFonts w:hint="eastAsia" w:ascii="宋体" w:hAnsi="宋体" w:cs="宋体"/>
                <w:b/>
                <w:bCs/>
                <w:sz w:val="24"/>
              </w:rPr>
              <w:t xml:space="preserve">本项最高得4分。</w:t>
            </w:r>
            <w:r>
              <w:rPr>
                <w:rFonts w:hint="eastAsia" w:ascii="宋体" w:hAnsi="宋体" w:cs="宋体"/>
                <w:sz w:val="24"/>
              </w:rPr>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3.6</w:t>
            </w:r>
            <w:r/>
          </w:p>
        </w:tc>
        <w:tc>
          <w:tcPr>
            <w:tcW w:w="759" w:type="pct"/>
            <w:vAlign w:val="center"/>
            <w:vMerge w:val="continue"/>
            <w:textDirection w:val="lrTb"/>
            <w:noWrap w:val="false"/>
          </w:tcPr>
          <w:p>
            <w:pPr>
              <w:pStyle w:val="1068"/>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2</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①具有</w:t>
            </w:r>
            <w:r>
              <w:rPr>
                <w:rFonts w:ascii="宋体" w:hAnsi="宋体" w:cs="宋体"/>
                <w:sz w:val="24"/>
              </w:rPr>
              <w:t xml:space="preserve">一级注册消防工程师</w:t>
            </w:r>
            <w:r>
              <w:rPr>
                <w:rFonts w:hint="eastAsia" w:ascii="宋体" w:hAnsi="宋体" w:cs="宋体"/>
                <w:sz w:val="24"/>
              </w:rPr>
              <w:t xml:space="preserve">，有一人得1分；</w:t>
            </w:r>
            <w:r/>
          </w:p>
          <w:p>
            <w:pPr>
              <w:pStyle w:val="1068"/>
              <w:rPr>
                <w:rFonts w:hint="eastAsia" w:ascii="宋体" w:hAnsi="宋体" w:cs="宋体"/>
                <w:sz w:val="24"/>
              </w:rPr>
            </w:pPr>
            <w:r>
              <w:rPr>
                <w:rFonts w:hint="eastAsia" w:ascii="宋体" w:hAnsi="宋体" w:cs="宋体"/>
                <w:sz w:val="24"/>
              </w:rPr>
              <w:t xml:space="preserve">②具有弱电系统工程师、智能建筑弱电工程师、建筑弱电工程师高级证书，满足任意一项的，有一人得1分。</w:t>
            </w:r>
            <w:r/>
          </w:p>
          <w:p>
            <w:pPr>
              <w:pStyle w:val="1068"/>
              <w:rPr>
                <w:rFonts w:hint="eastAsia" w:ascii="宋体" w:hAnsi="宋体" w:cs="宋体"/>
                <w:sz w:val="24"/>
              </w:rPr>
            </w:pPr>
            <w:r>
              <w:rPr>
                <w:rFonts w:hint="eastAsia" w:ascii="宋体" w:hAnsi="宋体" w:cs="宋体"/>
                <w:b/>
                <w:bCs/>
                <w:sz w:val="24"/>
              </w:rPr>
              <w:t xml:space="preserve">注：本项最高得2分；本项同一人不可累计得分。</w:t>
            </w:r>
            <w:r>
              <w:rPr>
                <w:rFonts w:hint="eastAsia" w:ascii="宋体" w:hAnsi="宋体" w:cs="宋体"/>
                <w:sz w:val="24"/>
              </w:rPr>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3.7</w:t>
            </w:r>
            <w:r/>
          </w:p>
        </w:tc>
        <w:tc>
          <w:tcPr>
            <w:tcW w:w="759" w:type="pct"/>
            <w:vAlign w:val="center"/>
            <w:vMerge w:val="continue"/>
            <w:textDirection w:val="lrTb"/>
            <w:noWrap w:val="false"/>
          </w:tcPr>
          <w:p>
            <w:pPr>
              <w:pStyle w:val="1068"/>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12</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具有工程类高级职称的，有一人得2分；具有工程类中级职称的，有人得1分；</w:t>
            </w:r>
            <w:r>
              <w:rPr>
                <w:rFonts w:hint="eastAsia" w:ascii="宋体" w:hAnsi="宋体" w:cs="宋体"/>
                <w:b/>
                <w:bCs/>
                <w:sz w:val="24"/>
              </w:rPr>
              <w:t xml:space="preserve">最高得12分。</w:t>
            </w:r>
            <w:r>
              <w:rPr>
                <w:rFonts w:hint="eastAsia" w:ascii="宋体" w:hAnsi="宋体" w:cs="宋体"/>
                <w:sz w:val="24"/>
              </w:rPr>
            </w:r>
            <w:r/>
          </w:p>
          <w:p>
            <w:pPr>
              <w:pStyle w:val="1068"/>
              <w:rPr>
                <w:rFonts w:hint="eastAsia" w:ascii="宋体" w:hAnsi="宋体" w:cs="宋体"/>
                <w:sz w:val="24"/>
              </w:rPr>
            </w:pPr>
            <w:r>
              <w:rPr>
                <w:rFonts w:hint="eastAsia" w:ascii="宋体" w:hAnsi="宋体" w:cs="宋体"/>
                <w:b/>
                <w:bCs/>
                <w:sz w:val="24"/>
              </w:rPr>
              <w:t xml:space="preserve">注：本项同一人不可累计得分。</w:t>
            </w:r>
            <w:r>
              <w:rPr>
                <w:rFonts w:hint="eastAsia" w:ascii="宋体" w:hAnsi="宋体" w:cs="宋体"/>
                <w:sz w:val="24"/>
              </w:rPr>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cantSplit/>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3.8</w:t>
            </w:r>
            <w:r/>
          </w:p>
        </w:tc>
        <w:tc>
          <w:tcPr>
            <w:tcW w:w="759" w:type="pct"/>
            <w:vAlign w:val="center"/>
            <w:vMerge w:val="continue"/>
            <w:textDirection w:val="lrTb"/>
            <w:noWrap w:val="false"/>
          </w:tcPr>
          <w:p>
            <w:pPr>
              <w:pStyle w:val="1068"/>
              <w:ind w:firstLine="28"/>
              <w:jc w:val="center"/>
              <w:rPr>
                <w:rFonts w:hint="eastAsia" w:ascii="宋体" w:hAnsi="宋体" w:cs="宋体"/>
                <w:sz w:val="24"/>
              </w:rPr>
            </w:pPr>
            <w:r>
              <w:rPr>
                <w:rFonts w:hint="eastAsia" w:ascii="宋体" w:hAnsi="宋体" w:cs="宋体"/>
                <w:sz w:val="24"/>
              </w:rPr>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8</w:t>
            </w:r>
            <w:r/>
          </w:p>
        </w:tc>
        <w:tc>
          <w:tcPr>
            <w:tcW w:w="2066" w:type="pct"/>
            <w:vAlign w:val="center"/>
            <w:textDirection w:val="lrTb"/>
            <w:noWrap w:val="false"/>
          </w:tcPr>
          <w:p>
            <w:pPr>
              <w:pStyle w:val="1068"/>
              <w:rPr>
                <w:rFonts w:hint="eastAsia" w:ascii="宋体" w:hAnsi="宋体" w:cs="宋体"/>
                <w:sz w:val="24"/>
              </w:rPr>
            </w:pPr>
            <w:r>
              <w:rPr>
                <w:rFonts w:hint="eastAsia" w:ascii="宋体" w:hAnsi="宋体" w:cs="宋体"/>
                <w:sz w:val="24"/>
              </w:rPr>
              <w:t xml:space="preserve">项目组成员（除项目负责人）：</w:t>
            </w:r>
            <w:r/>
          </w:p>
          <w:p>
            <w:pPr>
              <w:pStyle w:val="1068"/>
              <w:rPr>
                <w:rFonts w:hint="eastAsia" w:ascii="宋体" w:hAnsi="宋体" w:cs="宋体"/>
                <w:sz w:val="24"/>
              </w:rPr>
            </w:pPr>
            <w:r>
              <w:rPr>
                <w:rFonts w:hint="eastAsia" w:ascii="宋体" w:hAnsi="宋体" w:cs="宋体"/>
                <w:sz w:val="24"/>
              </w:rPr>
              <w:t xml:space="preserve">具有除</w:t>
            </w:r>
            <w:r>
              <w:rPr>
                <w:rFonts w:ascii="宋体" w:hAnsi="宋体" w:cs="宋体"/>
                <w:sz w:val="24"/>
              </w:rPr>
              <w:t xml:space="preserve">国家注册一级造价工程师</w:t>
            </w:r>
            <w:r>
              <w:rPr>
                <w:rFonts w:hint="eastAsia" w:ascii="宋体" w:hAnsi="宋体" w:cs="宋体"/>
                <w:sz w:val="24"/>
              </w:rPr>
              <w:t xml:space="preserve">、注册监理工程师、</w:t>
            </w:r>
            <w:r>
              <w:rPr>
                <w:rFonts w:ascii="宋体" w:hAnsi="宋体" w:cs="宋体"/>
                <w:sz w:val="24"/>
              </w:rPr>
              <w:t xml:space="preserve">一级注册消防工程师</w:t>
            </w:r>
            <w:r>
              <w:rPr>
                <w:rFonts w:hint="eastAsia" w:ascii="宋体" w:hAnsi="宋体" w:cs="宋体"/>
                <w:sz w:val="24"/>
              </w:rPr>
              <w:t xml:space="preserve">外其他国家级执业资格，每有一人得1分，</w:t>
            </w:r>
            <w:r>
              <w:rPr>
                <w:rFonts w:hint="eastAsia" w:ascii="宋体" w:hAnsi="宋体" w:cs="宋体"/>
                <w:b/>
                <w:bCs/>
                <w:sz w:val="24"/>
              </w:rPr>
              <w:t xml:space="preserve">最高得8分。</w:t>
            </w:r>
            <w:r>
              <w:rPr>
                <w:rFonts w:hint="eastAsia" w:ascii="宋体" w:hAnsi="宋体" w:cs="宋体"/>
                <w:sz w:val="24"/>
              </w:rPr>
            </w:r>
            <w:r/>
          </w:p>
          <w:p>
            <w:pPr>
              <w:pStyle w:val="1068"/>
              <w:rPr>
                <w:rFonts w:hint="eastAsia" w:ascii="宋体" w:hAnsi="宋体" w:cs="宋体"/>
                <w:sz w:val="24"/>
              </w:rPr>
            </w:pPr>
            <w:r>
              <w:rPr>
                <w:rFonts w:hint="eastAsia" w:ascii="宋体" w:hAnsi="宋体" w:cs="宋体"/>
                <w:b/>
                <w:bCs/>
                <w:sz w:val="24"/>
              </w:rPr>
              <w:t xml:space="preserve">注：本项同一人不可累计得分。</w:t>
            </w:r>
            <w:r>
              <w:rPr>
                <w:rFonts w:hint="eastAsia" w:ascii="宋体" w:hAnsi="宋体" w:cs="宋体"/>
                <w:sz w:val="24"/>
              </w:rPr>
            </w:r>
            <w:r/>
          </w:p>
        </w:tc>
        <w:tc>
          <w:tcPr>
            <w:tcW w:w="1267" w:type="pct"/>
            <w:vAlign w:val="center"/>
            <w:vMerge w:val="continue"/>
            <w:textDirection w:val="lrTb"/>
            <w:noWrap w:val="false"/>
          </w:tcPr>
          <w:p>
            <w:pPr>
              <w:pStyle w:val="1068"/>
              <w:ind w:left="-38"/>
              <w:rPr>
                <w:rFonts w:hint="eastAsia" w:ascii="宋体" w:hAnsi="宋体" w:cs="宋体"/>
                <w:sz w:val="24"/>
              </w:rPr>
            </w:pPr>
            <w:r>
              <w:rPr>
                <w:rFonts w:hint="eastAsia" w:ascii="宋体" w:hAnsi="宋体" w:cs="宋体"/>
                <w:sz w:val="24"/>
              </w:rPr>
            </w:r>
            <w:r/>
          </w:p>
        </w:tc>
      </w:tr>
      <w:tr>
        <w:trPr/>
        <w:tc>
          <w:tcPr>
            <w:tcW w:w="43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3.9</w:t>
            </w:r>
            <w:r/>
          </w:p>
        </w:tc>
        <w:tc>
          <w:tcPr>
            <w:tcW w:w="759"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类似业绩</w:t>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5</w:t>
            </w:r>
            <w:r/>
          </w:p>
        </w:tc>
        <w:tc>
          <w:tcPr>
            <w:tcW w:w="206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投标人自2021年1月1日以来具有类似维修资金使用的同一项目的现场查勘及现场审计经验的，每有一个得0.5分，本项最多得5分。 </w:t>
            </w:r>
            <w:r/>
          </w:p>
          <w:p>
            <w:pPr>
              <w:pStyle w:val="1068"/>
              <w:rPr>
                <w:rFonts w:hint="eastAsia" w:ascii="宋体" w:hAnsi="宋体" w:cs="宋体"/>
                <w:sz w:val="24"/>
              </w:rPr>
            </w:pPr>
            <w:r>
              <w:rPr>
                <w:rFonts w:hint="eastAsia" w:ascii="宋体" w:hAnsi="宋体" w:cs="宋体"/>
                <w:sz w:val="24"/>
              </w:rPr>
              <w:t xml:space="preserve">说明：时间以合同签订时间为准，项目个数以住宅专项资金管理部门的审批证明和文件成果资料为准。</w:t>
            </w:r>
            <w:r>
              <w:rPr>
                <w:rFonts w:hint="eastAsia" w:ascii="宋体" w:hAnsi="宋体" w:cs="宋体"/>
                <w:sz w:val="24"/>
              </w:rPr>
            </w:r>
            <w:r/>
          </w:p>
        </w:tc>
        <w:tc>
          <w:tcPr>
            <w:tcW w:w="1267" w:type="pct"/>
            <w:vAlign w:val="center"/>
            <w:textDirection w:val="lrTb"/>
            <w:noWrap w:val="false"/>
          </w:tcPr>
          <w:p>
            <w:pPr>
              <w:pStyle w:val="1068"/>
              <w:rPr>
                <w:rFonts w:hint="eastAsia" w:ascii="宋体" w:hAnsi="宋体" w:cs="宋体"/>
                <w:b/>
                <w:bCs/>
                <w:sz w:val="24"/>
              </w:rPr>
            </w:pPr>
            <w:r>
              <w:rPr>
                <w:rFonts w:hint="eastAsia" w:ascii="宋体" w:hAnsi="宋体" w:cs="宋体"/>
                <w:b/>
                <w:bCs/>
                <w:sz w:val="24"/>
              </w:rPr>
              <w:t xml:space="preserve">提供：①合同（需和住宅专项维修资金管理部门签订）；②提供相应项目的住宅专项资金管理部门的审批证明文件；③现场查勘意见和审计成果证明资料。</w:t>
            </w:r>
            <w:r/>
          </w:p>
          <w:p>
            <w:pPr>
              <w:pStyle w:val="1068"/>
              <w:rPr>
                <w:rFonts w:hint="eastAsia" w:ascii="宋体" w:hAnsi="宋体" w:cs="宋体"/>
                <w:b/>
                <w:bCs/>
                <w:sz w:val="24"/>
              </w:rPr>
            </w:pPr>
            <w:r>
              <w:rPr>
                <w:rFonts w:hint="eastAsia" w:ascii="宋体" w:hAnsi="宋体" w:cs="宋体"/>
                <w:b/>
                <w:bCs/>
                <w:sz w:val="24"/>
              </w:rPr>
              <w:t xml:space="preserve">上述材料加盖投标人公章，未提供或缺项的不得分。</w:t>
            </w:r>
            <w:r/>
          </w:p>
        </w:tc>
      </w:tr>
      <w:tr>
        <w:trPr/>
        <w:tc>
          <w:tcPr>
            <w:gridSpan w:val="2"/>
            <w:tcW w:w="1192"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合计</w:t>
            </w:r>
            <w:r/>
          </w:p>
        </w:tc>
        <w:tc>
          <w:tcPr>
            <w:tcW w:w="473" w:type="pct"/>
            <w:vAlign w:val="center"/>
            <w:textDirection w:val="lrTb"/>
            <w:noWrap w:val="false"/>
          </w:tcPr>
          <w:p>
            <w:pPr>
              <w:pStyle w:val="1068"/>
              <w:ind w:firstLine="28"/>
              <w:jc w:val="center"/>
              <w:rPr>
                <w:rFonts w:hint="eastAsia" w:ascii="宋体" w:hAnsi="宋体" w:cs="宋体"/>
                <w:sz w:val="24"/>
              </w:rPr>
            </w:pPr>
            <w:r>
              <w:rPr>
                <w:rFonts w:hint="eastAsia" w:ascii="宋体" w:hAnsi="宋体" w:cs="宋体"/>
                <w:sz w:val="24"/>
              </w:rPr>
              <w:t xml:space="preserve">100</w:t>
            </w:r>
            <w:r/>
          </w:p>
        </w:tc>
        <w:tc>
          <w:tcPr>
            <w:gridSpan w:val="2"/>
            <w:tcW w:w="3333" w:type="pct"/>
            <w:vAlign w:val="center"/>
            <w:textDirection w:val="lrTb"/>
            <w:noWrap w:val="false"/>
          </w:tcPr>
          <w:p>
            <w:pPr>
              <w:pStyle w:val="1068"/>
              <w:rPr>
                <w:rFonts w:hint="eastAsia" w:ascii="宋体" w:hAnsi="宋体" w:cs="宋体"/>
                <w:sz w:val="24"/>
              </w:rPr>
            </w:pPr>
            <w:r>
              <w:rPr>
                <w:rFonts w:hint="eastAsia" w:ascii="宋体" w:hAnsi="宋体" w:cs="宋体"/>
                <w:sz w:val="24"/>
              </w:rPr>
            </w:r>
            <w:r/>
          </w:p>
        </w:tc>
      </w:tr>
    </w:tbl>
    <w:p>
      <w:pPr>
        <w:pStyle w:val="1068"/>
        <w:jc w:val="center"/>
        <w:spacing w:line="360" w:lineRule="auto"/>
        <w:tabs>
          <w:tab w:val="left" w:pos="360" w:leader="none"/>
          <w:tab w:val="left" w:pos="900" w:leader="none"/>
        </w:tabs>
        <w:rPr>
          <w:rFonts w:ascii="宋体" w:hAnsi="宋体"/>
          <w:b/>
          <w:sz w:val="24"/>
        </w:rPr>
        <w:outlineLvl w:val="1"/>
      </w:pPr>
      <w:r>
        <w:rPr>
          <w:rFonts w:ascii="宋体" w:hAnsi="宋体"/>
          <w:b/>
          <w:sz w:val="24"/>
        </w:rPr>
      </w:r>
      <w:r/>
    </w:p>
    <w:p>
      <w:pPr>
        <w:pStyle w:val="1068"/>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rPr>
        <w:t xml:space="preserve">（标注★项为实质性响应，必须全部响应并满足，否则投标无效）</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1.项目名称：武进区住宅专项维修资金项目核查服务</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w:t>
      </w:r>
      <w:r>
        <w:rPr>
          <w:rFonts w:ascii="SimSun" w:hAnsi="SimSun" w:eastAsia="SimSun" w:cs="SimSun"/>
          <w:color w:val="000000"/>
          <w:sz w:val="24"/>
          <w:u w:val="none"/>
        </w:rPr>
        <w:t xml:space="preserve">600</w:t>
      </w:r>
      <w:r>
        <w:rPr>
          <w:rFonts w:ascii="SimSun" w:hAnsi="SimSun" w:eastAsia="SimSun" w:cs="SimSun"/>
          <w:color w:val="000000"/>
          <w:sz w:val="24"/>
        </w:rPr>
        <w:t xml:space="preserve">万元</w:t>
      </w:r>
      <w:r>
        <w:rPr>
          <w:rFonts w:ascii="SimSun" w:hAnsi="SimSun" w:eastAsia="SimSun" w:cs="SimSun"/>
          <w:color w:val="000000"/>
          <w:sz w:val="24"/>
          <w:u w:val="none"/>
        </w:rPr>
        <w:t xml:space="preserve">/3</w:t>
      </w:r>
      <w:r>
        <w:rPr>
          <w:rFonts w:ascii="SimSun" w:hAnsi="SimSun" w:eastAsia="SimSun" w:cs="SimSun"/>
          <w:color w:val="000000"/>
          <w:sz w:val="24"/>
        </w:rPr>
        <w:t xml:space="preserve">年（每年</w:t>
      </w:r>
      <w:r>
        <w:rPr>
          <w:rFonts w:ascii="SimSun" w:hAnsi="SimSun" w:eastAsia="SimSun" w:cs="SimSun"/>
          <w:color w:val="000000"/>
          <w:sz w:val="24"/>
          <w:u w:val="none"/>
        </w:rPr>
        <w:t xml:space="preserve">200</w:t>
      </w:r>
      <w:r>
        <w:rPr>
          <w:rFonts w:ascii="SimSun" w:hAnsi="SimSun" w:eastAsia="SimSun" w:cs="SimSun"/>
          <w:color w:val="000000"/>
          <w:sz w:val="24"/>
        </w:rPr>
        <w:t xml:space="preserve">万元）。</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3.最高限价：</w:t>
      </w:r>
      <w:r>
        <w:rPr>
          <w:rFonts w:ascii="SimSun" w:hAnsi="SimSun" w:eastAsia="SimSun" w:cs="SimSun"/>
          <w:color w:val="000000"/>
          <w:sz w:val="24"/>
        </w:rPr>
        <w:t xml:space="preserve">600万元/3年（每年200万元）。</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以优惠率进行报价（小数点后保留一位）。报价优惠率报价区间为0-100%，超出报价范围的投标无效。最终结算价=标准收费（标准收费率）×（1-优惠率）。（例如：优惠率20%，则现场查勘计费结算价为56元/个，以此为例）。</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概况：本项目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维修资金使用项目申报数量较大，现场工作环境多变复杂，涉及的工程类别也较多，常见维修项目包括屋面、外墙、落水管、污水管、单元楼道、单元门、道路、消防设施、监控设施等。</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5.服务履行期限：三年，合同一年一签。</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6.服务范围：武进区，按甲方具体要求为准。</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（一）计费标准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1.现场查勘计费标准为：70元/个查勘维修项目，根据甲方考核结果可上下浮动10%。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2.维修资金准予使用前公示计费标准为：70元/个维修资金准予使用前公示的项目，根据甲方考核结果可上下浮动10%。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3.维修资金划转前公示计费标准为：70元/个维修资金划转前公示的项目，根据甲方考核结果可上下浮动10%。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4.维修资金使用方案核对计费标准为：30元/个申报维修资金使用方案的项目，根据甲方考核结果可上下浮动10%。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5.现场审计计费标准为：基本费加上核减额的6%，其中基本费为每个申报项目审定额的4%，基本费根据甲方考核结果可上下浮动10%。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6.现场复核计费标准为：基本费加上核减额的6%，其中基本费为每个申报项目复核额的4%，基本费根据甲方考核结果可上下浮动10%。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1、每年度最高限额为200万元。上述费用年度结算价不足200万元的，按实结算费用；超过200万元的，按200万元结算。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2、一批次项目（一份准予使用通知书为一批次）现场审计和现场复核费用最高限额为10万元。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3、对于工程预算20万元（含20万元）以上的维修项目，服务单位应按照维修资金申请人的要求参与现场跟踪审计，审计费用计费标准不变。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4、对于工程预算20万元（不含20万元）以下的维修项目，服务单位应配有工程监理执业资格人员，结算审计时对维修工程质量合格性作出判断，不另行计费。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5、投标总价应包括完成招标文件所确定的招标范围内相应货物或者服务所涉及到的一切相关费用。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（二）付款条件（进度和方式）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查服务费用按年度结算。每年度服务开始后，采购人预付当年度最高限额的20%（即40万元），合同期上半年度期满采购人付至当年度最高限额的50%（即100万元），合同期满根据审定的项目完成量和考核结果结算,并付清合同全年费用。满足合同约定支付条件的，自收到发票后1个月内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三、基本要求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工作内容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维修资金使用项目申报数量较大，现场工作环境多变复杂，涉及的工程类别也较多，常见维修项目包括屋面、外墙、落水管、污水管、单元楼道、单元门、道路、消防设施、监控设施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（一）维修资金项目现场查勘（以2025年为例，武进区维修资金使用现场查勘项目约3000个，按个（户）计费，部分项目需进行多次查勘，多次查勘的不重复计费。）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内容：1、收悉查勘报修单；</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2、对申请维修的每个项目进行现场查勘，确认是否属于维修资金使用范围；</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3、明确维修资金列支范围；</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4、对维修资金使用相关政策等进行解释和宣传；</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5、出具现场查勘回复意见书；</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6、拍照留档，上传照片；</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7、递交相关查勘材料。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（二）维修资金准予使用前公示（以2025年为例，武进区维修资金使用前公示约2500个，按个（户）计费，部分项目需进行多次公示，多次公示不重复计费。）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内容：1、将采购人核对后的项目申报公示、维修方案、预算书、业主征求意见表等申报材料进行复印及填写。</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2、按采购人要求将以上复印件内容在申请维修的小区相应范围内进行公示，并拍摄照片，照片注明拍摄地点及时间，公示期为7天。</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3、公示期满后至取回公示材料。</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4、定期将所有维修资金准予使用前公示的材料按采购人要求整理成台账提交采购人。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（三）维修资金划转前公示（以2025年为例，武进区维修资金划转前公示约2200个，按个（户）计费，部分项目需进行多次公示，多次公示不重复计费。）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内容：1、符合维修资金划转条件的，按采购人要求将结算项目申报公示、工程结算审定单、审定书等材料进行复印及填写。</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2、按采购人要求将以上复印件在申请维修的小区相应范围内进行公示，并拍摄照片，照片注明拍摄地点及时间，公示期为7天。</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3、公示期满后至小区取回公示材料。</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4、定期将所有维修资金划转前公示的材料按采购人要求整理成台账提交采购人。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维修资金使用方案（包括维修方案、工程预算、维修资金列支范围及分摊方式、工程组织实施方式等内容）核对（以2025年为例，武进区维修资金申报的使用方案约2700个，按个（户）计费，部分项目需进行多次核对，多次核对不重复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内容：1、按采购人要求对申请人提供的维修资金使用方案进行核对。</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2、按采购人要求及时反馈核对意见。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（五）维修资金使用现场审计或维修资金使用现场复核（以2025年为例，武进区维修资金使用结算审计项目1600个。）</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1、维修资金使用现场审计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内容：主要对小区申请维修资金使用的维修、更新和改造的每个工程项目进行审计，主要包括：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（1）对单批次工程预算20万元（含20万元）以上的维修项目需开展跟踪审计，并在审计报告中进行披露；</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（2）对工程量（除隐蔽工程）的准确性进行审计；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（3）工程实施部位与现场查勘的一致性进行判断；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（4）按国家、省、市的规定进行审计；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（5）了解维修资金使用项目工程量签证单、竣工验收报告等材料业主代表签名真实性；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（6）了解维修项目的质量情况，并在报告中进行披露；</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（7）拍照留档；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（8）出具审计报告。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2、维修资金使用现场复核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内容：主要针对小区申请维修资金使用的维修、更新和改造的每个工程项目开展的审计工作进行复核，主要内容为：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（1）对工程量（除隐蔽工程）的准确性进行复核；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（2）对工程造价的合理性进行复核；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（3）了解维修资金使用项目工程量签证单、竣工验收报告等材料业主代表签名真实性；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（4）了解维修项目的质量情况，并在工程复核意见书中进行披露；</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（5）拍照留档；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（6）开具工程复核意见书。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★3.实质性要求：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标单位应对其开展工作的质量与成果承担全部责任，若在本项目工作开展过程中，因中标单位故意或过失造成工程造价或分摊结果出现错误，由此产生的全部损失由中标单位向采购人予以赔偿，并承担相应法律责任；同时采购人有权提前解除合同，且不承担任何违约责任。</w:t>
      </w:r>
      <w:r>
        <w:rPr>
          <w:rFonts w:ascii="SimSun" w:hAnsi="SimSun" w:eastAsia="SimSun" w:cs="SimSun"/>
          <w:b/>
          <w:i/>
          <w:color w:val="000000"/>
          <w:sz w:val="24"/>
        </w:rPr>
        <w:t xml:space="preserve">须提供承诺函并加盖投标人电子公章，否则作无效投标处理。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中标单位需在签订合同前提供每年度最高限额5%（即壹拾万元整）的履约保证金，服务期满且无任何争议后10日内无息返还。每一年度服务期开始前，中标单位应当补足履约保证金对应数额。因中标单位原因造成现场查勘分摊错误等，错误部分由中标单位承担，采购人可从履约保证金中直接扣除，如有不足，采购人可向中标单位追偿。上述问题若发现在合同期外的，采购人保留向中标单位追诉的权利。</w:t>
      </w:r>
      <w:r>
        <w:rPr>
          <w:rFonts w:ascii="SimSun" w:hAnsi="SimSun" w:eastAsia="SimSun" w:cs="SimSun"/>
          <w:b/>
          <w:i/>
          <w:color w:val="000000"/>
          <w:sz w:val="24"/>
        </w:rPr>
        <w:t xml:space="preserve">须提供承诺函并加盖投标人电子公章，否则作无效投标处理。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中标单位应保证合同期内拟派工作人员队伍稳定，若确需更换人员需经采购人同意；非常州本地企业必须承诺：拟派人员在履行项目核查服务期间全部驻常州办公；中标后不得将业务转包给其他单位或个人。不做承诺者视作无效投标，虽做出承诺但实际合同履行过程中未遵守承诺的，采购人有权利终止合同，并追究相关单位责任。</w:t>
      </w:r>
      <w:r>
        <w:rPr>
          <w:rFonts w:ascii="SimSun" w:hAnsi="SimSun" w:eastAsia="SimSun" w:cs="SimSun"/>
          <w:b/>
          <w:i/>
          <w:color w:val="000000"/>
          <w:sz w:val="24"/>
        </w:rPr>
        <w:t xml:space="preserve">须提供承诺函并加盖投标人电子公章，否则作无效投标处理。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履约保证金：中标人交纳每年度最高限额的5%（即壹拾万元整）作为本合同的履约保证金。供应商可以自主选择以支票、汇票、本票、保函（保险）等非现金形式交纳或提交，按照省市有关文件精神，鼓励优先采用电子履约保函（保险）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（1）关于履约保证金：供应商可以自主选择以支票、汇票、本票、保函（保险）等非现金形式交纳或提交，按照省市有关文件精神，鼓励优先采用电子履约保函（保险）形式。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（2）服务期满后，采购人应及时退还交纳的履约保证金。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①履约保证金退还方式：无息返还。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②履约保证金退还时间：服务期满且经考核无任何争议后10日内。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履约保证金退还条件：服务期满且经考核后，投标人服务过程中未造成错误、损失的全额退还履约保证金；服务过程中造成错误、损失的，妥善解决后退还剩余履约保证金。上述问题若发现在服务期外的，采购人保留向投标人追诉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④履约保证金不予退还的情形：年度考核最终得分低于60分或不合格的，不予退还履约保证金。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3.4投标人拟派的团队人员不低于12人（包括项目负责人），须为企业正式员工。</w:t>
      </w:r>
      <w:r>
        <w:rPr>
          <w:rFonts w:ascii="SimSun" w:hAnsi="SimSun" w:eastAsia="SimSun" w:cs="SimSun"/>
          <w:b/>
          <w:i/>
          <w:color w:val="000000"/>
          <w:sz w:val="24"/>
        </w:rPr>
        <w:t xml:space="preserve">须提供团队人员名单及投标人为上述人员缴纳的2026年1月-5月中任意连续3个月的社保证明材料并加盖投标人电子公章，否则作无效投标处理。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3.5投标人拟派的项目负责人应具有国家注册一级造价工程师资格。</w:t>
      </w:r>
      <w:r>
        <w:rPr>
          <w:rFonts w:ascii="SimSun" w:hAnsi="SimSun" w:eastAsia="SimSun" w:cs="SimSun"/>
          <w:b/>
          <w:i/>
          <w:color w:val="000000"/>
          <w:sz w:val="24"/>
        </w:rPr>
        <w:t xml:space="preserve">须提供项目负责人的证书复印件并加盖投标人电子公章，否则作无效投标处理。</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w:t>
      </w:r>
      <w:r/>
    </w:p>
    <w:p>
      <w:pPr>
        <w:ind w:left="0" w:right="0" w:firstLine="21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住宅专项维修资金使用核查服务单位考核表</w:t>
      </w:r>
      <w:r/>
    </w:p>
    <w:tbl>
      <w:tblPr>
        <w:tblStyle w:val="9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904"/>
        <w:gridCol w:w="1389"/>
        <w:gridCol w:w="1938"/>
        <w:gridCol w:w="837"/>
        <w:gridCol w:w="982"/>
        <w:gridCol w:w="761"/>
        <w:gridCol w:w="942"/>
        <w:gridCol w:w="1062"/>
      </w:tblGrid>
      <w:tr>
        <w:trPr>
          <w:trHeight w:val="212"/>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93"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考核单位：</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5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被考核单位：</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6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考核时间：</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工作考核内容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考核扣分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廉政考核内容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现场查勘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项目未按时间要求进行现场查勘的，一次扣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分；维修资金使用范围判断有误，一次扣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分；维修资金列支范围（现场查勘回复意见书须写清楚分摊房号）判断错误，一次扣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分；未按规定要求拍照并上传，一次扣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指派的负责人和专业人员，与投标时标书中承诺的人员不符的，发现一例扣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分；更换人员未经委托单位同意的，一例扣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分；工作开展中所用的设备，要与投标时标书中承诺的设备不符的，一例扣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分；收受被审计项目相关单位吃请和现金卡等，一次扣</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分；情节严重，造成不良社会影响的，扣</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分，年度考核直接定为不合格。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top"/>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使用方案核对（</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使用方案（包括项目申报公示、维修方案、预算书、业主征求意见表等）材料齐全，内容一致，填写完整规范，材料不齐全、内容不一致、填写不完整规范的，一个维修项目扣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准予使用前、划拨前公示（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未按时进行公示，一次扣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分；公示地点不符合要求的，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分；公示材料（准予使用前公示材料包括维修资金使用项目申报公示、维修方案、预算书、业主征求意见表；结算前公示材料包括维修资金结算项目申报公示表、工程结算审定单、审定书）有缺漏的，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分；公示未按规定要求拍照并上传的，一次扣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分；公示期满未及时撤回公示材料的，一次扣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现场审计或现场审计复核（</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未按国家、省、市规定开展审计或审计复核工作，对审计或复核的项目工程量和工程造价核定有明显偏差的，一次扣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分；未及时参加现场审计和复核工作的，延误一次扣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分；审计人员与维修资金使用申请人等人员闹矛盾、工作懈怠造成影响的，一次扣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分；丢失审计资料或造成审计内容泄密的，一次扣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分，给申请人、采购人、区住建局等造成严重后果的，一次扣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分；无故不参加采购人和区住建局组织的培训和工作会议，一次扣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分；工程审定单建设单位签章不实的，一次扣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分；申请人提供完整审计材料后，审计单位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个月内未出具审计报告引起当事人投诉的，一次扣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分；审计报告与施工单位开具的发票税率不一致的，一次扣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分；与施工单位串通虚报工程款导致核减率过高的，一次扣</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分，年度考核直接定为不合格。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3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2" w:type="dxa"/>
            <w:vAlign w:val="center"/>
            <w:textDirection w:val="lrTb"/>
            <w:noWrap w:val="false"/>
          </w:tcPr>
          <w:p>
            <w:pPr>
              <w:spacing w:before="0" w:after="0" w:line="57" w:lineRule="atLeast"/>
            </w:pPr>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1、采购人负责对核查服务单位的日常考核工作，并根据考核内容进行打分（扣分）。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2、4项考核项目分别计算得分。得分计算方式：100—（工作考核扣分+廉政考核扣分）=每个项目最终得分。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个合同年度为一个考核年度。年度考核最终得分90分以上（不含90分），相应考核项目每增加1分根据计费标准上浮1%；年度考核最终得分90分以下（不含90分），相应考核项目每降低1分根据计费标准下浮1%，下浮最高10%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4、一个或以上考核项目的年度考核最终得分低于60分或不合格的单位，采购人有权单方与中标单位解除合同，或不再续签后续合同，且采购人无需承担任何违约责任，同时采购人有权扣除履约保证金。</w:t>
      </w:r>
      <w:r/>
    </w:p>
    <w:p>
      <w:pPr>
        <w:pStyle w:val="1068"/>
        <w:contextualSpacing/>
        <w:ind w:firstLine="480"/>
        <w:spacing w:line="360" w:lineRule="auto"/>
        <w:rPr>
          <w:rFonts w:ascii="宋体" w:hAnsi="宋体"/>
          <w:bCs/>
          <w:sz w:val="24"/>
        </w:rPr>
      </w:pPr>
      <w:r>
        <w:rPr>
          <w:rFonts w:ascii="宋体" w:hAnsi="宋体"/>
          <w:bCs/>
          <w:sz w:val="24"/>
        </w:rPr>
      </w:r>
      <w:r/>
    </w:p>
    <w:p>
      <w:pPr>
        <w:pStyle w:val="1163"/>
        <w:contextualSpacing/>
        <w:ind w:firstLine="480"/>
        <w:jc w:val="left"/>
        <w:spacing w:line="360" w:lineRule="auto"/>
        <w:rPr>
          <w:rFonts w:ascii="宋体" w:hAnsi="宋体"/>
          <w:sz w:val="24"/>
          <w:szCs w:val="24"/>
        </w:rPr>
      </w:pPr>
      <w:r>
        <w:rPr>
          <w:rFonts w:ascii="宋体" w:hAnsi="宋体"/>
          <w:sz w:val="24"/>
          <w:szCs w:val="24"/>
        </w:rPr>
      </w:r>
      <w:r/>
    </w:p>
    <w:p>
      <w:pPr>
        <w:pStyle w:val="1068"/>
        <w:spacing w:line="440" w:lineRule="exact"/>
        <w:rPr>
          <w:rFonts w:ascii="宋体" w:hAnsi="宋体"/>
          <w:b/>
        </w:rPr>
      </w:pPr>
      <w:r>
        <w:rPr>
          <w:rFonts w:ascii="宋体" w:hAnsi="宋体"/>
          <w:b/>
        </w:rPr>
      </w:r>
      <w:r/>
    </w:p>
    <w:p>
      <w:pPr>
        <w:pStyle w:val="1068"/>
        <w:rPr>
          <w:rFonts w:ascii="宋体" w:hAnsi="宋体"/>
          <w:bCs/>
        </w:rPr>
      </w:pPr>
      <w:r>
        <w:rPr>
          <w:rFonts w:ascii="宋体" w:hAnsi="宋体"/>
          <w:bCs/>
        </w:rPr>
      </w:r>
      <w:r/>
    </w:p>
    <w:p>
      <w:pPr>
        <w:pStyle w:val="1068"/>
        <w:rPr>
          <w:rFonts w:ascii="宋体" w:hAnsi="宋体"/>
        </w:rPr>
      </w:pPr>
      <w:r>
        <w:rPr>
          <w:rFonts w:ascii="宋体" w:hAnsi="宋体"/>
        </w:rPr>
      </w:r>
      <w:r/>
    </w:p>
    <w:p>
      <w:pPr>
        <w:pStyle w:val="1068"/>
        <w:jc w:val="left"/>
        <w:widowControl/>
        <w:rPr>
          <w:rFonts w:ascii="宋体" w:hAnsi="宋体"/>
          <w:b/>
          <w:sz w:val="36"/>
          <w:szCs w:val="36"/>
        </w:rPr>
      </w:pPr>
      <w:r>
        <w:rPr>
          <w:rFonts w:ascii="宋体" w:hAnsi="宋体"/>
          <w:b/>
          <w:sz w:val="36"/>
          <w:szCs w:val="36"/>
        </w:rPr>
        <w:br w:type="page" w:clear="all"/>
      </w:r>
      <w:r/>
    </w:p>
    <w:p>
      <w:pPr>
        <w:pStyle w:val="1068"/>
        <w:jc w:val="center"/>
        <w:spacing w:line="360" w:lineRule="auto"/>
        <w:rPr>
          <w:rFonts w:ascii="宋体" w:hAnsi="宋体"/>
          <w:b/>
          <w:sz w:val="36"/>
          <w:szCs w:val="36"/>
        </w:rPr>
        <w:outlineLvl w:val="0"/>
      </w:pPr>
      <w:r/>
      <w:bookmarkStart w:id="820" w:name="_Toc99301425"/>
      <w:r>
        <w:rPr>
          <w:rFonts w:ascii="宋体" w:hAnsi="宋体"/>
          <w:b/>
          <w:sz w:val="36"/>
          <w:szCs w:val="36"/>
        </w:rPr>
        <w:t xml:space="preserve">第六章   拟签订的合同文本</w:t>
      </w:r>
      <w:bookmarkEnd w:id="820"/>
      <w:r>
        <w:rPr>
          <w:rFonts w:ascii="宋体" w:hAnsi="宋体"/>
          <w:b/>
          <w:sz w:val="36"/>
          <w:szCs w:val="36"/>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投标人（以下称乙方）:                         </w:t>
      </w:r>
      <w:r>
        <w:rPr>
          <w:rFonts w:ascii="SimSun" w:hAnsi="SimSun" w:eastAsia="SimSun" w:cs="SimSun"/>
          <w:color w:val="000000"/>
          <w:sz w:val="24"/>
        </w:rPr>
        <w:t xml:space="preserve">签订地点：</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1.项目名称：武进区住宅专项维修资金项目核查服务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概况：本项目主要是对武进区住宅专项维修资金使用项目，按照《常州市住宅专项维修资金使用实施细则》要求，在规定的时间内开展现场查勘、维修资金使用方案核对、维修资金准予使用前公示、维修资金划转前公示、现场审计或现场复核等工作。住宅专项维修资金专项用于住宅共用部位、共用设施设备保修期满后的维修、更新和改造。维修资金使用项目申报数量较大，现场工作环境多变复杂，涉及的工程类别也较多，常见维修项目包括屋面、外墙、落水管、污水管、单元楼道、单元门、道路、消防设施、监控设施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3.服务范围：武进区，按甲方具体要求为准。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中标优惠率：</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各项目计费标准（最终结算单价）：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（1）现场查勘计费标准为：</w:t>
      </w:r>
      <w:r>
        <w:rPr>
          <w:rFonts w:ascii="SimSun" w:hAnsi="SimSun" w:eastAsia="SimSun" w:cs="SimSun"/>
          <w:color w:val="000000"/>
          <w:sz w:val="24"/>
          <w:u w:val="single"/>
        </w:rPr>
        <w:t xml:space="preserve">    </w:t>
      </w:r>
      <w:r>
        <w:rPr>
          <w:rFonts w:ascii="SimSun" w:hAnsi="SimSun" w:eastAsia="SimSun" w:cs="SimSun"/>
          <w:color w:val="000000"/>
          <w:sz w:val="24"/>
        </w:rPr>
        <w:t xml:space="preserve">元/每个查勘维修项目，根据甲方考核结果可上下浮动10%。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（2）维修资金准予使用前公示计费标准为：</w:t>
      </w:r>
      <w:r>
        <w:rPr>
          <w:rFonts w:ascii="SimSun" w:hAnsi="SimSun" w:eastAsia="SimSun" w:cs="SimSun"/>
          <w:color w:val="000000"/>
          <w:sz w:val="24"/>
          <w:u w:val="single"/>
        </w:rPr>
        <w:t xml:space="preserve">    </w:t>
      </w:r>
      <w:r>
        <w:rPr>
          <w:rFonts w:ascii="SimSun" w:hAnsi="SimSun" w:eastAsia="SimSun" w:cs="SimSun"/>
          <w:color w:val="000000"/>
          <w:sz w:val="24"/>
        </w:rPr>
        <w:t xml:space="preserve">元/每个维修资金准予使用前公示的项目，根据甲方考核结果可上下浮动10%。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（3）维修资金划转前公示计费标准为：</w:t>
      </w:r>
      <w:r>
        <w:rPr>
          <w:rFonts w:ascii="SimSun" w:hAnsi="SimSun" w:eastAsia="SimSun" w:cs="SimSun"/>
          <w:color w:val="000000"/>
          <w:sz w:val="24"/>
          <w:u w:val="single"/>
        </w:rPr>
        <w:t xml:space="preserve">    </w:t>
      </w:r>
      <w:r>
        <w:rPr>
          <w:rFonts w:ascii="SimSun" w:hAnsi="SimSun" w:eastAsia="SimSun" w:cs="SimSun"/>
          <w:color w:val="000000"/>
          <w:sz w:val="24"/>
        </w:rPr>
        <w:t xml:space="preserve">元/每个维修资金划转前公示的项目，根据甲方考核结果可上下浮动10%。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（4）维修资金使用方案核对计费标准为：</w:t>
      </w:r>
      <w:r>
        <w:rPr>
          <w:rFonts w:ascii="SimSun" w:hAnsi="SimSun" w:eastAsia="SimSun" w:cs="SimSun"/>
          <w:color w:val="000000"/>
          <w:sz w:val="24"/>
          <w:u w:val="single"/>
        </w:rPr>
        <w:t xml:space="preserve">    </w:t>
      </w:r>
      <w:r>
        <w:rPr>
          <w:rFonts w:ascii="SimSun" w:hAnsi="SimSun" w:eastAsia="SimSun" w:cs="SimSun"/>
          <w:color w:val="000000"/>
          <w:sz w:val="24"/>
        </w:rPr>
        <w:t xml:space="preserve">元/每个申报维修资金使用方案的项目，根据甲方考核结果可上下浮动10%。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（5）现场审计计费标准为：基本费加上核减额的</w:t>
      </w:r>
      <w:r>
        <w:rPr>
          <w:rFonts w:ascii="SimSun" w:hAnsi="SimSun" w:eastAsia="SimSun" w:cs="SimSun"/>
          <w:color w:val="000000"/>
          <w:sz w:val="24"/>
          <w:u w:val="single"/>
        </w:rPr>
        <w:t xml:space="preserve">    </w:t>
      </w:r>
      <w:r>
        <w:rPr>
          <w:rFonts w:ascii="SimSun" w:hAnsi="SimSun" w:eastAsia="SimSun" w:cs="SimSun"/>
          <w:color w:val="000000"/>
          <w:sz w:val="24"/>
        </w:rPr>
        <w:t xml:space="preserve">%，其中基本费为每个申报项目审定额的</w:t>
      </w:r>
      <w:r>
        <w:rPr>
          <w:rFonts w:ascii="SimSun" w:hAnsi="SimSun" w:eastAsia="SimSun" w:cs="SimSun"/>
          <w:color w:val="000000"/>
          <w:sz w:val="24"/>
          <w:u w:val="single"/>
        </w:rPr>
        <w:t xml:space="preserve">    </w:t>
      </w:r>
      <w:r>
        <w:rPr>
          <w:rFonts w:ascii="SimSun" w:hAnsi="SimSun" w:eastAsia="SimSun" w:cs="SimSun"/>
          <w:color w:val="000000"/>
          <w:sz w:val="24"/>
        </w:rPr>
        <w:t xml:space="preserve">%，基本费根据甲方考核结果可上下浮动10%。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（6）现场复核计费标准为：基本费加上核减额的</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w:t>
      </w:r>
      <w:r>
        <w:rPr>
          <w:rFonts w:ascii="SimSun" w:hAnsi="SimSun" w:eastAsia="SimSun" w:cs="SimSun"/>
          <w:color w:val="000000"/>
          <w:sz w:val="24"/>
        </w:rPr>
        <w:t xml:space="preserve">，其中基本费为每个申报项目复核额的</w:t>
      </w:r>
      <w:r>
        <w:rPr>
          <w:rFonts w:ascii="SimSun" w:hAnsi="SimSun" w:eastAsia="SimSun" w:cs="SimSun"/>
          <w:color w:val="000000"/>
          <w:sz w:val="24"/>
          <w:u w:val="single"/>
        </w:rPr>
        <w:t xml:space="preserve">    </w:t>
      </w:r>
      <w:r>
        <w:rPr>
          <w:rFonts w:ascii="SimSun" w:hAnsi="SimSun" w:eastAsia="SimSun" w:cs="SimSun"/>
          <w:color w:val="000000"/>
          <w:sz w:val="24"/>
        </w:rPr>
        <w:t xml:space="preserve">%，基本费根据甲方考核结果可上下浮动10%。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1、每年度最高限额为200万元。上述费用年度结算价不足200万元的，按实结算费用；超过200万元的，按200万元结算。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2、一批次项目（一份准予使用通知书为一批次）现场审计和现场复核费用最高限额为10万元。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3、对于工程预算20万元（含20万元）以上的维修项目，乙方应按照维修资金申请人的要求参与现场跟踪审计，审计费用计费标准不变。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4、对于工程预算20万元（不含20万元）以下的维修项目，乙方应配有工程监理执业资格人员，结算审计时对维修工程质量合格性作出判断，不另行计费。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本合同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合同履行期限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组成本合同的有关文件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（1）招标采购文件（编号：   ）           （2）乙方提供的投标文件；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                        （4）甲乙双方商定的其他文件等。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合同款结算及支付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3.结算原则：固定优惠率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4.履约保证金：因乙方原因造成现场查勘分摊错误等，错误部分由乙方承担，甲方可从履约保证金中直接扣除，如有不足，甲方可向乙方追偿。上述问题若发现在合同期外的，甲方保留向乙方追诉的权利。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履约保证金缴纳金额：乙方交纳人民币</w:t>
      </w:r>
      <w:r>
        <w:rPr>
          <w:rFonts w:ascii="SimSun" w:hAnsi="SimSun" w:eastAsia="SimSun" w:cs="SimSun"/>
          <w:color w:val="000000"/>
          <w:sz w:val="24"/>
          <w:u w:val="single"/>
        </w:rPr>
        <w:t xml:space="preserve">  壹拾万  元</w:t>
      </w:r>
      <w:r>
        <w:rPr>
          <w:rFonts w:ascii="SimSun" w:hAnsi="SimSun" w:eastAsia="SimSun" w:cs="SimSun"/>
          <w:color w:val="000000"/>
          <w:sz w:val="24"/>
        </w:rPr>
        <w:t xml:space="preserve">（年度最高限额的5%）作为本合同的履约保证金。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履约保证金缴纳形式：乙方可以自主选择以支票、汇票、本票、保函（保险）等非现金形式交纳或提交，按照省市有关文件精神，鼓励优先采用电子履约保函（保险）形式。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履约保证金退还方式：无息退还。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履约保证金退还时间：服务期满且经考核无任何争议后10日内。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履约保证金退还条件：服务期满且经考核后，乙方服务过程中未造成错误、损失的全额退还履约保证金；服务过程中造成错误、损失的，妥善解决后退还剩余履约保证金。上述问题若发现在服务期外的，甲方保留向乙方追诉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④履约保证金不予退还的情形：年度考核最终得分低于60分或不合格的，不予退还履约保证金。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w:t>
      </w:r>
      <w:r>
        <w:rPr>
          <w:rFonts w:ascii="SimSun" w:hAnsi="SimSun" w:eastAsia="SimSun" w:cs="SimSun"/>
          <w:b/>
          <w:color w:val="000000"/>
          <w:sz w:val="24"/>
        </w:rPr>
        <w:t xml:space="preserve">核查服务费用按年度结算。每年度服务开始后，甲方预付年度最高限额的20%（即40万元），合同期上半年度期满甲方付至年度最高限额的50%（即100万元），合同期满根据审定的项目完成量和考核结果结算,并付清合同全年费用。满足合同约定支付条件的，自收到发票后1个月内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1.如乙方不能按约定进行服务的，甲方有权解除合同，乙方交纳的全部履约保证金不予退还，同时有权要求乙方按照年度最高限额5%的标准支付违约金，解除合同的通知自发出之日生效。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2.乙方未按本合同规定向甲方交付履约保证金的，甲方有权拒绝签订本合同，同时乙方应按应交付履约保证金的100%向甲方支付违约金。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3.甲方逾期30日支付合同款项的，每逾期 1天应向乙方偿付欠款总额 0.03％的滞纳金，但滞纳金总额累计不得超过欠款总额的5％；一旦滞纳金总额累计达到欠款总额的5％，乙方有权解除合同。区财政因素除外。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4.甲方按照《住宅专项维修资金使用核查服务单位考核表》对乙方进行考核，考核表作为本合同附件，与本合同具有同等法律效力。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5.乙方无法完成项目的，应向甲方支付</w:t>
      </w:r>
      <w:r>
        <w:rPr>
          <w:rFonts w:ascii="SimSun" w:hAnsi="SimSun" w:eastAsia="SimSun" w:cs="SimSun"/>
          <w:b/>
          <w:color w:val="000000"/>
          <w:sz w:val="24"/>
        </w:rPr>
        <w:t xml:space="preserve">年度最高限额</w:t>
      </w:r>
      <w:r>
        <w:rPr>
          <w:rFonts w:ascii="SimSun" w:hAnsi="SimSun" w:eastAsia="SimSun" w:cs="SimSun"/>
          <w:color w:val="000000"/>
          <w:sz w:val="24"/>
        </w:rPr>
        <w:t xml:space="preserve">10％的违约金，同时甲方有权解除合同。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6.乙方逾期提供服务的，乙方应按逾期提供服务</w:t>
      </w:r>
      <w:r>
        <w:rPr>
          <w:rFonts w:ascii="SimSun" w:hAnsi="SimSun" w:eastAsia="SimSun" w:cs="SimSun"/>
          <w:b/>
          <w:color w:val="000000"/>
          <w:sz w:val="24"/>
        </w:rPr>
        <w:t xml:space="preserve">年度最高限额</w:t>
      </w:r>
      <w:r>
        <w:rPr>
          <w:rFonts w:ascii="SimSun" w:hAnsi="SimSun" w:eastAsia="SimSun" w:cs="SimSun"/>
          <w:color w:val="000000"/>
          <w:sz w:val="24"/>
        </w:rPr>
        <w:t xml:space="preserve">每日千分之六向甲方支付违约金，由甲方从待付合同款项中扣除。逾期超过约定日期10个工作日不能提供服务的，甲方可解除本合同。乙方因逾期提供服务或因其他违约行为导致甲方解除合同的，乙方应向甲方支付</w:t>
      </w:r>
      <w:r>
        <w:rPr>
          <w:rFonts w:ascii="SimSun" w:hAnsi="SimSun" w:eastAsia="SimSun" w:cs="SimSun"/>
          <w:b/>
          <w:color w:val="000000"/>
          <w:sz w:val="24"/>
        </w:rPr>
        <w:t xml:space="preserve">年度最高限额</w:t>
      </w:r>
      <w:r>
        <w:rPr>
          <w:rFonts w:ascii="SimSun" w:hAnsi="SimSun" w:eastAsia="SimSun" w:cs="SimSun"/>
          <w:color w:val="000000"/>
          <w:sz w:val="24"/>
        </w:rPr>
        <w:t xml:space="preserve">10%的违约金，如造成甲方损失超过违约金的，超出部分由乙方继续承担赔偿责任。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7.乙方完成的项目不符合要求的，应按照甲方选择的下列一种或多种方式承担赔偿责任：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7.1在甲方同意延长的期限内交付符合要求的提供服务并承担由此给甲方造成的一切损失；逾期未完成或完成的项目仍不符合要求，乙方应向甲方支付年度最高限额10％的违约金，同时甲方有权解除合同。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7.2在甲方规定时间内，修正有缺陷的部分以达到合同规定的要求并承担一切费用和风险，同时承担甲方因此所遭受的全部损失；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7.3按合同规定同种货币退还甲方已付款项，同时承担由此发生的一切损失和费用，包括但不限于利息、银行手续费及所需的其他必要费用。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8.乙方未按规定和承诺提供伴随服务、售后服务的，应向甲方支付年度最高限额5％的违约金。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投标属虚假承诺，或是由于乙方的过错造成合同无法继续履行的，除乙方已交履约保证金不予退还外，还应向甲方支付不少于年度最高限额30%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10.违约方承担违约责任并不影响其合同项下的义务(合同解除的除外)。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11.其他未尽事宜，以《民法典》等有关法律法规规定为准，无相关规定的，双方协商解决。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2.一个或以上考核项目的年度考核最终得分低于60分或不合格的单位，甲方有权单方与乙方解除合同，或不再续签后续合同，且甲方无需承担任何违约责任，同时甲方有权扣除履约保证金。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3.除发生法律规定的不能预见、不能避免并不能克服的客观情况外，甲乙双方不得放弃或拒绝履行合同。乙方放弃或拒绝履行合同，履约保证金不予退还。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个工作日内提供相应证明。未履行完合同部分是否继续履行、如何履行等问题，可由双方初步协商，并向主管部门报告。确定为不可抗力原因造成的损失，免予承担责任。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 ）种方式解决争议：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2.在法院审理和仲裁期间，除有争议部分外，本合同其他部分应继续履行。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诚实信用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2.本合同一式伍份，甲乙双方各执贰份，代理机构执壹份存档。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    方</w:t>
      </w:r>
      <w:r>
        <w:rPr>
          <w:rFonts w:ascii="SimSun" w:hAnsi="SimSun" w:eastAsia="SimSun" w:cs="SimSun"/>
          <w:color w:val="000000"/>
          <w:sz w:val="24"/>
        </w:rPr>
        <w:t xml:space="preserve">：                               </w:t>
      </w:r>
      <w:r>
        <w:rPr>
          <w:rFonts w:ascii="SimSun" w:hAnsi="SimSun" w:eastAsia="SimSun" w:cs="SimSun"/>
          <w:b/>
          <w:color w:val="000000"/>
          <w:sz w:val="24"/>
        </w:rPr>
        <w:t xml:space="preserve">乙    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                          单位名称（章）：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委托代理人：          法定代表人：     委托代理人：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传真：</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开户银行：        账号</w:t>
      </w:r>
      <w:r>
        <w:rPr>
          <w:rFonts w:hint="eastAsia" w:ascii="宋体" w:hAnsi="宋体" w:cs="宋体"/>
          <w:sz w:val="24"/>
        </w:rPr>
        <w:t xml:space="preserve">：</w:t>
      </w:r>
      <w:r>
        <w:rPr>
          <w:rFonts w:ascii="宋体" w:hAnsi="宋体" w:cs="宋体"/>
          <w:sz w:val="24"/>
        </w:rPr>
        <w:br w:type="page" w:clear="all"/>
      </w:r>
      <w:r>
        <w:rPr>
          <w:rFonts w:ascii="SimSun" w:hAnsi="SimSun" w:eastAsia="SimSun" w:cs="SimSun"/>
          <w:b/>
          <w:color w:val="000000"/>
          <w:sz w:val="24"/>
        </w:rPr>
        <w:t xml:space="preserve">附表：</w:t>
      </w:r>
      <w:r/>
    </w:p>
    <w:p>
      <w:pPr>
        <w:ind w:left="0" w:right="0" w:firstLine="21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住宅专项维修资金使用核查服务单位考核表</w:t>
      </w:r>
      <w:r/>
    </w:p>
    <w:tbl>
      <w:tblPr>
        <w:tblStyle w:val="9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904"/>
        <w:gridCol w:w="1389"/>
        <w:gridCol w:w="1938"/>
        <w:gridCol w:w="837"/>
        <w:gridCol w:w="982"/>
        <w:gridCol w:w="761"/>
        <w:gridCol w:w="942"/>
        <w:gridCol w:w="1062"/>
      </w:tblGrid>
      <w:tr>
        <w:trPr>
          <w:trHeight w:val="212"/>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93"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考核单位：</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5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被考核单位：</w:t>
            </w: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6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考核时间：</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工作考核内容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考核扣分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廉政考核内容</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现场查勘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项目未按时间要求进行现场查勘的，一次扣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分；维修资金使用范围判断有误，一次扣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分；维修资金列支范围（现场查勘回复意见书须写清楚分摊房号）判断错误，一次扣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分；未按规定要求拍照并上传，一次扣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top"/>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指派的负责人和专业人员，与投标时标书中承诺的人员不符的，发现一例扣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分；更换人员未经委托单位同意的，一例扣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分；工作开展中所用的设备，要与投标时标书中承诺的设备不符的，一例扣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分；收受被审计项目相关单位吃请和现金卡等，一次扣</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分；情节严重，造成不良社会影响的，扣</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分，年度考核直接定为不合格。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top"/>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使用方案核对（</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使用方案（包括项目申报公示、维修方案、预算书、业主征求意见表等）材料齐全，内容一致，填写完整规范，材料不齐全、内容不一致、填写不完整规范的，一个维修项目扣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准予使用前、划拨前公示（</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未按时进行公示，一次扣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分；公示地点不符合要求的，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分；公示材料（准予使用前公示材料包括维修资金使用项目申报公示、维修方案、预算书、业主征求意见表；结算前公示材料包括维修资金结算项目申报公示表、工程结算审定单、审定书）有缺漏的，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分；公示未按规定要求拍照并上传的，一次扣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分；公示期满未及时撤回公示材料的，一次扣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tabs>
                <w:tab w:val="left" w:pos="56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现场审计或现场审计复核（</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未按国家、省、市规定开展审计或审计复核工作，对审计或复核的项目工程量和工程造价核定有明显偏差的，一次扣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分；未及时参加现场审计和复核工作的，延误一次扣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分；审计人员与维修资金使用申请人等人员闹矛盾、工作懈怠造成影响的，一次扣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分；丢失审计资料或造成审计内容泄密的，一次扣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分，给申请人、采购人、区住建局等造成严重后果的，一次扣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分；无故不参加采购人和区住建局组织的培训和工作会议，一次扣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分；工程审定单建设单位签章不实的，一次扣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分；申请人提供完整审计材料后，审计单位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个月内未出具审计报告引起当事人投诉的，一次扣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分；审计报告与施工单位开具的发票税率不一致的，一次扣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分；与施工单位串通虚报工程款导致核减率过高的，一次扣</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分，年度考核直接定为不合格。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3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2" w:type="dxa"/>
            <w:vAlign w:val="center"/>
            <w:textDirection w:val="lrTb"/>
            <w:noWrap w:val="false"/>
          </w:tcPr>
          <w:p>
            <w:pPr>
              <w:spacing w:before="0" w:after="0" w:line="57" w:lineRule="atLeast"/>
            </w:pPr>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1、采购人负责对核查服务单位的日常考核工作，并根据考核内容进行打分（扣分）。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2、4项考核项目分别计算得分。得分计算方式：100—（工作考核扣分+廉政考核扣分）=每个项目最终得分。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个合同年度为一个考核年度。年度考核最终得分90分以上（不含90分），相应考核项目每增加1分根据计费标准上浮1%；年度考核最终得分90分以下（不含90分），相应考核项目每降低1分根据计费标准下浮1%，下浮最高10%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4、一个或以上考核项目的年度考核最终得分低于60分或不合格的单位，采购人有权单方与中标单位解除合同，或不再续签后续合同，且采购人无需承担任何违约责任，同时采购人有权扣除履约保证金。</w:t>
      </w:r>
      <w:r/>
    </w:p>
    <w:p>
      <w:pPr>
        <w:contextualSpacing/>
        <w:spacing w:line="400" w:lineRule="exact"/>
        <w:rPr>
          <w:b/>
          <w:bCs/>
          <w:sz w:val="24"/>
          <w:szCs w:val="24"/>
        </w:rPr>
      </w:pPr>
      <w:r>
        <w:rPr>
          <w:rFonts w:ascii="宋体" w:hAnsi="宋体" w:cs="宋体"/>
          <w:sz w:val="24"/>
        </w:rPr>
      </w:r>
      <w:r/>
    </w:p>
    <w:p>
      <w:pPr>
        <w:pStyle w:val="1068"/>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68"/>
        <w:jc w:val="center"/>
        <w:spacing w:line="360" w:lineRule="auto"/>
        <w:rPr>
          <w:rFonts w:ascii="宋体" w:hAnsi="宋体"/>
          <w:b/>
          <w:sz w:val="36"/>
          <w:szCs w:val="36"/>
        </w:rPr>
        <w:outlineLvl w:val="0"/>
      </w:pPr>
      <w:r>
        <w:rPr>
          <w:rFonts w:ascii="宋体" w:hAnsi="宋体"/>
          <w:b/>
          <w:sz w:val="36"/>
          <w:szCs w:val="36"/>
        </w:rPr>
        <w:br w:type="page" w:clear="all"/>
      </w:r>
      <w:bookmarkStart w:id="822" w:name="_Toc99301426"/>
      <w:r>
        <w:rPr>
          <w:rFonts w:ascii="宋体" w:hAnsi="宋体"/>
          <w:b/>
          <w:sz w:val="36"/>
          <w:szCs w:val="36"/>
        </w:rPr>
        <w:t xml:space="preserve">第七章   投标文件格式</w:t>
      </w:r>
      <w:bookmarkEnd w:id="822"/>
      <w:r>
        <w:rPr>
          <w:rFonts w:ascii="宋体" w:hAnsi="宋体"/>
          <w:b/>
          <w:sz w:val="36"/>
          <w:szCs w:val="36"/>
        </w:rPr>
      </w:r>
      <w:r/>
    </w:p>
    <w:p>
      <w:pPr>
        <w:pStyle w:val="106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6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6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6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6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8"/>
        <w:jc w:val="left"/>
        <w:widowControl/>
        <w:rPr>
          <w:rFonts w:ascii="宋体" w:hAnsi="宋体"/>
          <w:sz w:val="24"/>
        </w:rPr>
      </w:pPr>
      <w:r>
        <w:rPr>
          <w:rFonts w:ascii="宋体" w:hAnsi="宋体"/>
          <w:sz w:val="24"/>
        </w:rPr>
        <w:br w:type="page" w:clear="all"/>
      </w:r>
      <w:r/>
    </w:p>
    <w:p>
      <w:pPr>
        <w:pStyle w:val="106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68"/>
        <w:rPr>
          <w:rFonts w:ascii="宋体" w:hAnsi="宋体"/>
          <w:b/>
          <w:spacing w:val="20"/>
          <w:szCs w:val="21"/>
        </w:rPr>
      </w:pPr>
      <w:r>
        <w:rPr>
          <w:rFonts w:ascii="宋体" w:hAnsi="宋体"/>
          <w:b/>
          <w:spacing w:val="20"/>
          <w:szCs w:val="21"/>
        </w:rPr>
      </w:r>
      <w:r/>
    </w:p>
    <w:p>
      <w:pPr>
        <w:pStyle w:val="106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68"/>
        <w:jc w:val="center"/>
        <w:rPr>
          <w:rFonts w:ascii="宋体" w:hAnsi="宋体"/>
          <w:szCs w:val="21"/>
        </w:rPr>
      </w:pPr>
      <w:r>
        <w:rPr>
          <w:rFonts w:ascii="宋体" w:hAnsi="宋体"/>
          <w:szCs w:val="21"/>
        </w:rPr>
      </w:r>
      <w:r/>
    </w:p>
    <w:p>
      <w:pPr>
        <w:pStyle w:val="1068"/>
        <w:jc w:val="center"/>
        <w:rPr>
          <w:rFonts w:ascii="宋体" w:hAnsi="宋体"/>
          <w:b/>
          <w:spacing w:val="60"/>
          <w:sz w:val="84"/>
          <w:szCs w:val="84"/>
        </w:rPr>
      </w:pPr>
      <w:r>
        <w:rPr>
          <w:rFonts w:ascii="宋体" w:hAnsi="宋体"/>
          <w:b/>
          <w:spacing w:val="60"/>
          <w:sz w:val="84"/>
          <w:szCs w:val="84"/>
        </w:rPr>
        <w:t xml:space="preserve">投 标 文 件</w:t>
      </w:r>
      <w:r/>
    </w:p>
    <w:p>
      <w:pPr>
        <w:pStyle w:val="1068"/>
        <w:ind w:firstLine="963"/>
        <w:rPr>
          <w:rFonts w:hint="eastAsia" w:ascii="宋体" w:hAnsi="宋体"/>
          <w:b/>
          <w:spacing w:val="60"/>
          <w:sz w:val="52"/>
          <w:szCs w:val="52"/>
        </w:rPr>
      </w:pPr>
      <w:r>
        <w:rPr>
          <w:rFonts w:hint="eastAsia" w:ascii="宋体" w:hAnsi="宋体"/>
          <w:b/>
          <w:spacing w:val="60"/>
          <w:sz w:val="52"/>
          <w:szCs w:val="52"/>
        </w:rPr>
      </w:r>
      <w:r/>
    </w:p>
    <w:p>
      <w:pPr>
        <w:pStyle w:val="1068"/>
        <w:ind w:firstLine="963"/>
        <w:rPr>
          <w:rFonts w:hint="eastAsia" w:ascii="宋体" w:hAnsi="宋体"/>
          <w:b/>
          <w:spacing w:val="60"/>
          <w:sz w:val="52"/>
          <w:szCs w:val="52"/>
        </w:rPr>
      </w:pPr>
      <w:r>
        <w:rPr>
          <w:rFonts w:hint="eastAsia" w:ascii="宋体" w:hAnsi="宋体"/>
          <w:b/>
          <w:spacing w:val="60"/>
          <w:sz w:val="52"/>
          <w:szCs w:val="52"/>
        </w:rPr>
      </w:r>
      <w:r/>
    </w:p>
    <w:p>
      <w:pPr>
        <w:pStyle w:val="1068"/>
        <w:ind w:firstLine="542"/>
        <w:rPr>
          <w:rFonts w:ascii="宋体" w:hAnsi="宋体"/>
          <w:b/>
          <w:spacing w:val="20"/>
          <w:sz w:val="32"/>
          <w:szCs w:val="32"/>
        </w:rPr>
      </w:pPr>
      <w:r>
        <w:rPr>
          <w:rFonts w:ascii="宋体" w:hAnsi="宋体"/>
          <w:b/>
          <w:spacing w:val="20"/>
          <w:sz w:val="32"/>
          <w:szCs w:val="32"/>
        </w:rPr>
      </w:r>
      <w:r/>
    </w:p>
    <w:p>
      <w:pPr>
        <w:pStyle w:val="1068"/>
        <w:ind w:firstLine="542"/>
        <w:rPr>
          <w:rFonts w:ascii="宋体" w:hAnsi="宋体"/>
          <w:b/>
          <w:spacing w:val="20"/>
          <w:sz w:val="32"/>
          <w:szCs w:val="32"/>
        </w:rPr>
      </w:pPr>
      <w:r>
        <w:rPr>
          <w:rFonts w:ascii="宋体" w:hAnsi="宋体"/>
          <w:b/>
          <w:spacing w:val="20"/>
          <w:sz w:val="32"/>
          <w:szCs w:val="32"/>
        </w:rPr>
      </w:r>
      <w:r/>
    </w:p>
    <w:p>
      <w:pPr>
        <w:pStyle w:val="106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8"/>
        <w:jc w:val="center"/>
        <w:rPr>
          <w:rFonts w:ascii="宋体" w:hAnsi="宋体"/>
          <w:b/>
          <w:sz w:val="32"/>
          <w:szCs w:val="32"/>
        </w:rPr>
      </w:pPr>
      <w:r>
        <w:rPr>
          <w:rFonts w:ascii="宋体" w:hAnsi="宋体"/>
          <w:b/>
          <w:sz w:val="32"/>
          <w:szCs w:val="32"/>
        </w:rPr>
      </w:r>
      <w:r/>
    </w:p>
    <w:p>
      <w:pPr>
        <w:pStyle w:val="106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8"/>
        <w:rPr>
          <w:rFonts w:ascii="宋体" w:hAnsi="宋体"/>
          <w:b/>
        </w:rPr>
      </w:pPr>
      <w:r>
        <w:rPr>
          <w:rFonts w:ascii="宋体" w:hAnsi="宋体"/>
          <w:b/>
        </w:rPr>
      </w:r>
      <w:r/>
    </w:p>
    <w:p>
      <w:pPr>
        <w:pStyle w:val="106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6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致：常州市城投建设工程招标有限公司</w:t>
      </w:r>
      <w:r>
        <w:rPr>
          <w:rFonts w:hAnsi="宋体"/>
        </w:rPr>
      </w:r>
      <w:r/>
    </w:p>
    <w:p>
      <w:pPr>
        <w:pStyle w:val="108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Ansi="宋体"/>
        </w:rPr>
      </w:r>
      <w:r/>
    </w:p>
    <w:p>
      <w:pPr>
        <w:pStyle w:val="1083"/>
        <w:ind w:firstLine="840"/>
        <w:spacing w:line="460" w:lineRule="exact"/>
        <w:rPr>
          <w:rFonts w:hAnsi="宋体"/>
        </w:rPr>
      </w:pPr>
      <w:r>
        <w:rPr>
          <w:rFonts w:hint="eastAsia" w:hAnsi="宋体"/>
        </w:rPr>
        <w:t xml:space="preserve">投标人：（加盖公章）</w:t>
      </w:r>
      <w:r>
        <w:rPr>
          <w:rFonts w:hAnsi="宋体"/>
        </w:rPr>
      </w:r>
      <w:r/>
    </w:p>
    <w:p>
      <w:pPr>
        <w:pStyle w:val="1083"/>
        <w:ind w:firstLine="840"/>
        <w:spacing w:line="460" w:lineRule="exact"/>
        <w:rPr>
          <w:rFonts w:hAnsi="宋体"/>
        </w:rPr>
      </w:pPr>
      <w:r>
        <w:rPr>
          <w:rFonts w:hint="eastAsia" w:hAnsi="宋体"/>
        </w:rPr>
        <w:t xml:space="preserve">法定代表人（或单位负责人）签字或盖章：</w:t>
      </w:r>
      <w:r>
        <w:rPr>
          <w:rFonts w:hAnsi="宋体"/>
        </w:rPr>
      </w:r>
      <w:r/>
    </w:p>
    <w:p>
      <w:pPr>
        <w:pStyle w:val="1083"/>
        <w:ind w:firstLine="840"/>
        <w:spacing w:line="460" w:lineRule="exact"/>
        <w:rPr>
          <w:rFonts w:hint="eastAsia" w:hAnsi="宋体"/>
        </w:rPr>
      </w:pPr>
      <w:r>
        <w:rPr>
          <w:rFonts w:hint="eastAsia" w:hAnsi="宋体"/>
        </w:rPr>
        <w:t xml:space="preserve">日期：    年    月    日</w:t>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6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6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68"/>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1068"/>
        <w:spacing w:line="360" w:lineRule="auto"/>
        <w:tabs>
          <w:tab w:val="left" w:pos="5580" w:leader="none"/>
        </w:tabs>
        <w:rPr>
          <w:rFonts w:ascii="宋体" w:hAnsi="宋体"/>
          <w:sz w:val="24"/>
        </w:rPr>
      </w:pPr>
      <w:r>
        <w:rPr>
          <w:rFonts w:ascii="宋体" w:hAnsi="宋体"/>
          <w:sz w:val="24"/>
        </w:rPr>
      </w:r>
      <w:r/>
    </w:p>
    <w:p>
      <w:pPr>
        <w:pStyle w:val="1068"/>
        <w:spacing w:line="360" w:lineRule="auto"/>
        <w:tabs>
          <w:tab w:val="left" w:pos="5580" w:leader="none"/>
        </w:tabs>
        <w:rPr>
          <w:rFonts w:ascii="宋体" w:hAnsi="宋体"/>
          <w:sz w:val="24"/>
        </w:rPr>
      </w:pPr>
      <w:r>
        <w:rPr>
          <w:rFonts w:ascii="宋体" w:hAnsi="宋体"/>
          <w:sz w:val="24"/>
        </w:rPr>
        <w:t xml:space="preserve">说明：</w:t>
      </w:r>
      <w:r/>
    </w:p>
    <w:p>
      <w:pPr>
        <w:pStyle w:val="106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06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6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68"/>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06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68"/>
        <w:spacing w:line="360" w:lineRule="auto"/>
        <w:tabs>
          <w:tab w:val="left" w:pos="5580" w:leader="none"/>
        </w:tabs>
        <w:rPr>
          <w:rFonts w:ascii="宋体" w:hAnsi="宋体"/>
          <w:sz w:val="24"/>
        </w:rPr>
      </w:pPr>
      <w:r>
        <w:rPr>
          <w:rFonts w:ascii="宋体" w:hAnsi="宋体"/>
          <w:sz w:val="24"/>
        </w:rPr>
      </w:r>
      <w:r/>
    </w:p>
    <w:p>
      <w:pPr>
        <w:pStyle w:val="1068"/>
        <w:jc w:val="center"/>
        <w:widowControl/>
        <w:rPr>
          <w:rFonts w:ascii="宋体" w:hAnsi="宋体"/>
          <w:sz w:val="24"/>
        </w:rPr>
      </w:pPr>
      <w:r>
        <w:rPr>
          <w:rFonts w:ascii="宋体" w:hAnsi="宋体"/>
          <w:sz w:val="24"/>
        </w:rPr>
        <w:br w:type="page" w:clear="all"/>
      </w:r>
      <w:r/>
    </w:p>
    <w:p>
      <w:pPr>
        <w:pStyle w:val="1068"/>
        <w:jc w:val="center"/>
        <w:widowControl/>
        <w:rPr>
          <w:rFonts w:ascii="宋体" w:hAnsi="宋体"/>
          <w:sz w:val="24"/>
        </w:rPr>
      </w:pPr>
      <w:r>
        <w:rPr>
          <w:rFonts w:ascii="宋体" w:hAnsi="宋体"/>
          <w:sz w:val="24"/>
        </w:rPr>
      </w:r>
      <w:r/>
    </w:p>
    <w:p>
      <w:pPr>
        <w:pStyle w:val="1068"/>
        <w:jc w:val="center"/>
        <w:widowControl/>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1068"/>
        <w:jc w:val="center"/>
        <w:widowControl/>
        <w:rPr>
          <w:rFonts w:hint="eastAsia" w:ascii="宋体" w:hAnsi="宋体"/>
          <w:b/>
          <w:bCs/>
          <w:sz w:val="36"/>
          <w:szCs w:val="36"/>
        </w:rPr>
      </w:pPr>
      <w:r>
        <w:rPr>
          <w:rFonts w:hint="eastAsia" w:ascii="宋体" w:hAnsi="宋体"/>
          <w:b/>
          <w:bCs/>
          <w:sz w:val="36"/>
          <w:szCs w:val="36"/>
        </w:rPr>
      </w:r>
      <w:r/>
    </w:p>
    <w:p>
      <w:pPr>
        <w:pStyle w:val="1068"/>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68"/>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068"/>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068"/>
        <w:ind w:firstLine="504"/>
        <w:spacing w:line="360" w:lineRule="auto"/>
        <w:rPr>
          <w:rFonts w:ascii="宋体" w:hAnsi="宋体"/>
          <w:spacing w:val="6"/>
          <w:sz w:val="24"/>
        </w:rPr>
      </w:pPr>
      <w:r>
        <w:rPr>
          <w:rFonts w:ascii="宋体" w:hAnsi="宋体"/>
          <w:spacing w:val="6"/>
          <w:sz w:val="24"/>
        </w:rPr>
      </w:r>
      <w:r/>
    </w:p>
    <w:p>
      <w:pPr>
        <w:pStyle w:val="1068"/>
        <w:ind w:firstLine="504"/>
        <w:spacing w:line="360" w:lineRule="auto"/>
        <w:rPr>
          <w:rFonts w:ascii="宋体" w:hAnsi="宋体"/>
          <w:spacing w:val="6"/>
          <w:sz w:val="24"/>
        </w:rPr>
      </w:pPr>
      <w:r>
        <w:rPr>
          <w:rFonts w:ascii="宋体" w:hAnsi="宋体"/>
          <w:spacing w:val="6"/>
          <w:sz w:val="24"/>
        </w:rPr>
        <w:t xml:space="preserve">……</w:t>
      </w:r>
      <w:r/>
    </w:p>
    <w:p>
      <w:pPr>
        <w:pStyle w:val="1068"/>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068"/>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068"/>
        <w:ind w:right="360" w:firstLine="480"/>
        <w:jc w:val="right"/>
        <w:spacing w:line="360" w:lineRule="auto"/>
        <w:rPr>
          <w:rFonts w:ascii="宋体" w:hAnsi="宋体"/>
          <w:sz w:val="24"/>
        </w:rPr>
      </w:pPr>
      <w:r>
        <w:rPr>
          <w:rFonts w:ascii="宋体" w:hAnsi="宋体"/>
          <w:sz w:val="24"/>
        </w:rPr>
      </w:r>
      <w:r/>
    </w:p>
    <w:p>
      <w:pPr>
        <w:pStyle w:val="106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68"/>
        <w:ind w:right="360" w:firstLine="480"/>
        <w:jc w:val="right"/>
        <w:spacing w:line="360" w:lineRule="auto"/>
        <w:rPr>
          <w:rFonts w:ascii="宋体" w:hAnsi="宋体"/>
          <w:sz w:val="24"/>
        </w:rPr>
      </w:pPr>
      <w:r>
        <w:rPr>
          <w:rFonts w:ascii="宋体" w:hAnsi="宋体"/>
          <w:sz w:val="24"/>
        </w:rPr>
        <w:t xml:space="preserve">日 期：________</w:t>
      </w:r>
      <w:r/>
    </w:p>
    <w:p>
      <w:pPr>
        <w:pStyle w:val="1068"/>
        <w:jc w:val="left"/>
        <w:rPr>
          <w:rFonts w:ascii="宋体" w:hAnsi="宋体"/>
          <w:sz w:val="24"/>
          <w:szCs w:val="21"/>
        </w:rPr>
      </w:pPr>
      <w:r>
        <w:rPr>
          <w:rFonts w:ascii="宋体" w:hAnsi="宋体"/>
          <w:sz w:val="24"/>
          <w:szCs w:val="21"/>
        </w:rPr>
      </w:r>
      <w:r/>
    </w:p>
    <w:p>
      <w:pPr>
        <w:pStyle w:val="1068"/>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68"/>
        <w:jc w:val="left"/>
        <w:rPr>
          <w:rFonts w:ascii="宋体" w:hAnsi="宋体"/>
          <w:szCs w:val="21"/>
          <w:vertAlign w:val="superscript"/>
        </w:rPr>
      </w:pPr>
      <w:r>
        <w:rPr>
          <w:rFonts w:ascii="宋体" w:hAnsi="宋体"/>
          <w:szCs w:val="21"/>
          <w:vertAlign w:val="superscript"/>
        </w:rPr>
      </w:r>
      <w:r/>
    </w:p>
    <w:p>
      <w:pPr>
        <w:pStyle w:val="1068"/>
        <w:ind w:right="360" w:firstLine="480"/>
        <w:jc w:val="right"/>
        <w:spacing w:line="360" w:lineRule="auto"/>
        <w:rPr>
          <w:rFonts w:ascii="宋体" w:hAnsi="宋体"/>
          <w:sz w:val="24"/>
        </w:rPr>
      </w:pPr>
      <w:r>
        <w:rPr>
          <w:rFonts w:ascii="宋体" w:hAnsi="宋体"/>
          <w:sz w:val="24"/>
        </w:rPr>
      </w:r>
      <w:r/>
    </w:p>
    <w:p>
      <w:pPr>
        <w:pStyle w:val="1068"/>
        <w:ind w:right="360" w:firstLine="480"/>
        <w:jc w:val="right"/>
        <w:spacing w:line="360" w:lineRule="auto"/>
        <w:rPr>
          <w:rFonts w:ascii="宋体" w:hAnsi="宋体"/>
          <w:sz w:val="24"/>
        </w:rPr>
      </w:pPr>
      <w:r>
        <w:rPr>
          <w:rFonts w:ascii="宋体" w:hAnsi="宋体"/>
          <w:sz w:val="24"/>
        </w:rPr>
      </w:r>
      <w:r/>
    </w:p>
    <w:p>
      <w:pPr>
        <w:pStyle w:val="1068"/>
        <w:spacing w:line="360" w:lineRule="auto"/>
        <w:rPr>
          <w:rFonts w:ascii="宋体" w:hAnsi="宋体"/>
          <w:sz w:val="24"/>
          <w:szCs w:val="20"/>
        </w:rPr>
        <w:outlineLvl w:val="2"/>
      </w:pPr>
      <w:r>
        <w:rPr>
          <w:rFonts w:ascii="宋体" w:hAnsi="宋体"/>
          <w:sz w:val="24"/>
          <w:szCs w:val="20"/>
        </w:rPr>
        <w:br w:type="page" w:clear="all"/>
      </w:r>
      <w:r/>
    </w:p>
    <w:p>
      <w:pPr>
        <w:pStyle w:val="1068"/>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106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8"/>
        <w:ind w:firstLine="504"/>
        <w:spacing w:line="588" w:lineRule="exact"/>
        <w:rPr>
          <w:rFonts w:ascii="宋体" w:hAnsi="宋体"/>
          <w:spacing w:val="6"/>
          <w:sz w:val="24"/>
        </w:rPr>
      </w:pPr>
      <w:r>
        <w:rPr>
          <w:rFonts w:ascii="宋体" w:hAnsi="宋体"/>
          <w:spacing w:val="6"/>
          <w:sz w:val="24"/>
        </w:rPr>
      </w:r>
      <w:r/>
    </w:p>
    <w:p>
      <w:pPr>
        <w:pStyle w:val="1068"/>
        <w:ind w:firstLine="504"/>
        <w:spacing w:line="588" w:lineRule="exact"/>
        <w:rPr>
          <w:rFonts w:ascii="宋体" w:hAnsi="宋体"/>
          <w:spacing w:val="6"/>
          <w:sz w:val="24"/>
        </w:rPr>
      </w:pPr>
      <w:r>
        <w:rPr>
          <w:rFonts w:ascii="宋体" w:hAnsi="宋体"/>
          <w:spacing w:val="6"/>
          <w:sz w:val="24"/>
        </w:rPr>
      </w:r>
      <w:r/>
    </w:p>
    <w:p>
      <w:pPr>
        <w:pStyle w:val="106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8"/>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68"/>
        <w:jc w:val="left"/>
        <w:widowControl/>
        <w:rPr>
          <w:rFonts w:ascii="宋体" w:hAnsi="宋体"/>
          <w:sz w:val="24"/>
          <w:szCs w:val="20"/>
        </w:rPr>
      </w:pPr>
      <w:r>
        <w:rPr>
          <w:rFonts w:ascii="宋体" w:hAnsi="宋体"/>
          <w:sz w:val="24"/>
          <w:szCs w:val="20"/>
        </w:rPr>
        <w:br w:type="page" w:clear="all"/>
      </w:r>
      <w:r>
        <w:rPr>
          <w:rFonts w:ascii="宋体" w:hAnsi="宋体"/>
          <w:b/>
          <w:sz w:val="24"/>
          <w:szCs w:val="20"/>
        </w:rPr>
        <w:t xml:space="preserve">2-2</w:t>
      </w:r>
      <w:r>
        <w:rPr>
          <w:rFonts w:ascii="宋体" w:hAnsi="宋体"/>
          <w:sz w:val="30"/>
          <w:szCs w:val="30"/>
        </w:rPr>
        <w:t xml:space="preserve">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24"/>
          <w:szCs w:val="20"/>
        </w:rPr>
      </w:r>
      <w:r/>
    </w:p>
    <w:p>
      <w:pPr>
        <w:pStyle w:val="1068"/>
        <w:jc w:val="left"/>
        <w:widowControl/>
        <w:rPr>
          <w:rFonts w:ascii="宋体" w:hAnsi="宋体"/>
          <w:sz w:val="24"/>
        </w:rPr>
      </w:pPr>
      <w:r>
        <w:rPr>
          <w:rFonts w:ascii="宋体" w:hAnsi="宋体"/>
          <w:sz w:val="24"/>
        </w:rPr>
      </w:r>
      <w:r/>
    </w:p>
    <w:p>
      <w:pPr>
        <w:pStyle w:val="106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6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3" w:name="_Toc226337252"/>
      <w:r/>
      <w:bookmarkStart w:id="824" w:name="_Toc480942349"/>
      <w:r/>
      <w:bookmarkStart w:id="825" w:name="_Toc520356217"/>
      <w:r/>
      <w:bookmarkStart w:id="826" w:name="_Toc150480794"/>
      <w:r/>
      <w:bookmarkStart w:id="827" w:name="_Ref467988698"/>
      <w:r/>
      <w:bookmarkStart w:id="828" w:name="_Toc226965746"/>
      <w:r/>
      <w:bookmarkStart w:id="829" w:name="_Toc150774761"/>
      <w:r/>
      <w:bookmarkStart w:id="830" w:name="_Toc127151556"/>
      <w:r/>
      <w:bookmarkStart w:id="831" w:name="_Toc226965829"/>
      <w:r/>
      <w:bookmarkStart w:id="832" w:name="_Toc195842921"/>
      <w:r/>
      <w:bookmarkStart w:id="833" w:name="_Toc226309800"/>
      <w:r/>
      <w:bookmarkStart w:id="834" w:name="_Toc142311058"/>
      <w:r>
        <w:rPr>
          <w:rFonts w:hint="eastAsia" w:ascii="宋体" w:hAnsi="宋体"/>
          <w:b/>
          <w:sz w:val="32"/>
          <w:szCs w:val="32"/>
        </w:rPr>
      </w:r>
      <w:r/>
    </w:p>
    <w:p>
      <w:pPr>
        <w:pStyle w:val="1068"/>
        <w:jc w:val="center"/>
        <w:widowControl/>
        <w:rPr>
          <w:rFonts w:hint="eastAsia" w:ascii="宋体" w:hAnsi="宋体"/>
          <w:b/>
          <w:sz w:val="32"/>
          <w:szCs w:val="32"/>
        </w:rPr>
      </w:pPr>
      <w:r>
        <w:rPr>
          <w:rFonts w:hint="eastAsia" w:ascii="宋体" w:hAnsi="宋体"/>
          <w:b/>
          <w:sz w:val="32"/>
          <w:szCs w:val="32"/>
        </w:rPr>
      </w:r>
      <w:r/>
    </w:p>
    <w:p>
      <w:pPr>
        <w:pStyle w:val="106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b/>
          <w:sz w:val="24"/>
        </w:rPr>
        <w:t xml:space="preserve">函</w:t>
      </w:r>
      <w:r>
        <w:rPr>
          <w:rFonts w:ascii="宋体" w:hAnsi="宋体"/>
          <w:b/>
          <w:sz w:val="24"/>
          <w:szCs w:val="20"/>
        </w:rPr>
        <w:t xml:space="preserve">（实质性格式）</w:t>
      </w:r>
      <w:r/>
    </w:p>
    <w:p>
      <w:pPr>
        <w:pStyle w:val="1068"/>
        <w:spacing w:line="360" w:lineRule="auto"/>
        <w:tabs>
          <w:tab w:val="left" w:pos="5580" w:leader="none"/>
        </w:tabs>
        <w:rPr>
          <w:rFonts w:ascii="宋体" w:hAnsi="宋体"/>
          <w:sz w:val="24"/>
        </w:rPr>
      </w:pPr>
      <w:r>
        <w:rPr>
          <w:rFonts w:ascii="宋体" w:hAnsi="宋体"/>
          <w:sz w:val="24"/>
        </w:rPr>
      </w:r>
      <w:r/>
    </w:p>
    <w:p>
      <w:pPr>
        <w:pStyle w:val="106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6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68"/>
        <w:spacing w:line="360" w:lineRule="auto"/>
        <w:tabs>
          <w:tab w:val="left" w:pos="5580" w:leader="none"/>
        </w:tabs>
        <w:rPr>
          <w:rFonts w:ascii="宋体" w:hAnsi="宋体"/>
          <w:sz w:val="24"/>
          <w:szCs w:val="20"/>
        </w:rPr>
      </w:pPr>
      <w:r>
        <w:rPr>
          <w:rFonts w:ascii="宋体" w:hAnsi="宋体"/>
          <w:sz w:val="24"/>
          <w:szCs w:val="20"/>
        </w:rPr>
      </w:r>
      <w:r/>
    </w:p>
    <w:p>
      <w:pPr>
        <w:pStyle w:val="106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6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6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6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6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6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6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68"/>
        <w:ind w:firstLine="480"/>
        <w:spacing w:line="360" w:lineRule="auto"/>
        <w:rPr>
          <w:rFonts w:ascii="宋体" w:hAnsi="宋体"/>
          <w:sz w:val="24"/>
        </w:rPr>
      </w:pPr>
      <w:r>
        <w:rPr>
          <w:rFonts w:ascii="宋体" w:hAnsi="宋体"/>
          <w:sz w:val="24"/>
        </w:rPr>
        <w:t xml:space="preserve">与本投标有关的一切正式往来信函请寄：</w:t>
      </w:r>
      <w:r/>
    </w:p>
    <w:p>
      <w:pPr>
        <w:pStyle w:val="1068"/>
        <w:ind w:left="420"/>
        <w:spacing w:line="360" w:lineRule="auto"/>
        <w:tabs>
          <w:tab w:val="left" w:pos="5580" w:leader="none"/>
        </w:tabs>
        <w:rPr>
          <w:rFonts w:ascii="宋体" w:hAnsi="宋体"/>
          <w:sz w:val="24"/>
          <w:szCs w:val="20"/>
        </w:rPr>
      </w:pPr>
      <w:r>
        <w:rPr>
          <w:rFonts w:ascii="宋体" w:hAnsi="宋体"/>
          <w:sz w:val="24"/>
          <w:szCs w:val="20"/>
        </w:rPr>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6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68"/>
        <w:jc w:val="left"/>
        <w:widowControl/>
        <w:rPr>
          <w:rFonts w:hint="eastAsia" w:ascii="宋体" w:hAnsi="宋体"/>
          <w:b/>
          <w:sz w:val="24"/>
        </w:rPr>
      </w:pPr>
      <w:r/>
      <w:bookmarkStart w:id="835" w:name="_Hlt520355938"/>
      <w:r/>
      <w:bookmarkEnd w:id="835"/>
      <w:r/>
      <w:bookmarkStart w:id="836" w:name="_Hlt520356243"/>
      <w:r/>
      <w:bookmarkEnd w:id="836"/>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68"/>
        <w:jc w:val="center"/>
        <w:spacing w:line="360" w:lineRule="auto"/>
        <w:rPr>
          <w:rFonts w:hint="eastAsia" w:ascii="宋体" w:hAnsi="宋体"/>
          <w:b/>
          <w:sz w:val="32"/>
          <w:szCs w:val="32"/>
        </w:rPr>
      </w:pPr>
      <w:r>
        <w:rPr>
          <w:rFonts w:hint="eastAsia" w:ascii="宋体" w:hAnsi="宋体"/>
          <w:b/>
          <w:sz w:val="32"/>
          <w:szCs w:val="32"/>
        </w:rPr>
      </w:r>
      <w:r/>
    </w:p>
    <w:p>
      <w:pPr>
        <w:pStyle w:val="106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8"/>
        <w:spacing w:line="560" w:lineRule="exact"/>
        <w:rPr>
          <w:rFonts w:ascii="宋体" w:hAnsi="宋体"/>
          <w:sz w:val="24"/>
        </w:rPr>
      </w:pPr>
      <w:r>
        <w:rPr>
          <w:rFonts w:ascii="宋体" w:hAnsi="宋体"/>
          <w:sz w:val="24"/>
        </w:rPr>
      </w:r>
      <w:r/>
    </w:p>
    <w:p>
      <w:pPr>
        <w:pStyle w:val="110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6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6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6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spacing w:line="360" w:lineRule="auto"/>
        <w:rPr>
          <w:rFonts w:ascii="宋体" w:hAnsi="宋体"/>
          <w:b/>
          <w:sz w:val="24"/>
        </w:rPr>
        <w:outlineLvl w:val="2"/>
      </w:pPr>
      <w:r>
        <w:rPr>
          <w:rFonts w:ascii="宋体" w:hAnsi="宋体"/>
          <w:b/>
          <w:sz w:val="24"/>
        </w:rPr>
      </w:r>
      <w:r/>
    </w:p>
    <w:p>
      <w:pPr>
        <w:pStyle w:val="106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68"/>
        <w:jc w:val="center"/>
        <w:rPr>
          <w:rFonts w:hint="eastAsia" w:ascii="宋体" w:hAnsi="宋体"/>
          <w:b/>
          <w:sz w:val="32"/>
          <w:szCs w:val="32"/>
        </w:rPr>
      </w:pPr>
      <w:r>
        <w:rPr>
          <w:rFonts w:hint="eastAsia" w:ascii="宋体" w:hAnsi="宋体"/>
          <w:b/>
          <w:sz w:val="32"/>
          <w:szCs w:val="32"/>
        </w:rPr>
      </w:r>
      <w:r/>
    </w:p>
    <w:p>
      <w:pPr>
        <w:pStyle w:val="1321"/>
        <w:jc w:val="center"/>
        <w:spacing w:line="480" w:lineRule="auto"/>
        <w:rPr>
          <w:rFonts w:cs="宋体"/>
          <w:sz w:val="24"/>
        </w:rPr>
      </w:pPr>
      <w:r>
        <w:rPr>
          <w:rFonts w:hint="eastAsia"/>
          <w:b/>
          <w:sz w:val="36"/>
          <w:szCs w:val="36"/>
        </w:rPr>
        <w:t xml:space="preserve">授权委托书</w:t>
      </w:r>
      <w:r>
        <w:rPr>
          <w:rFonts w:cs="宋体"/>
          <w:sz w:val="24"/>
        </w:rPr>
      </w:r>
      <w:r/>
    </w:p>
    <w:p>
      <w:pPr>
        <w:pStyle w:val="106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6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8"/>
        <w:spacing w:line="400" w:lineRule="exact"/>
        <w:rPr>
          <w:rFonts w:hint="eastAsia" w:ascii="宋体" w:hAnsi="宋体" w:cs="宋体"/>
          <w:szCs w:val="21"/>
        </w:rPr>
      </w:pPr>
      <w:r>
        <w:rPr>
          <w:rFonts w:hint="eastAsia" w:ascii="宋体" w:hAnsi="宋体" w:cs="宋体"/>
          <w:szCs w:val="21"/>
        </w:rPr>
      </w:r>
      <w:r/>
    </w:p>
    <w:p>
      <w:pPr>
        <w:pStyle w:val="106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6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8"/>
        <w:spacing w:line="400" w:lineRule="exact"/>
        <w:rPr>
          <w:rFonts w:ascii="宋体" w:hAnsi="宋体" w:cs="宋体"/>
          <w:sz w:val="24"/>
        </w:rPr>
      </w:pPr>
      <w:r>
        <w:rPr>
          <w:rFonts w:ascii="宋体" w:hAnsi="宋体" w:cs="宋体"/>
          <w:sz w:val="24"/>
        </w:rPr>
      </w:r>
      <w:r/>
    </w:p>
    <w:p>
      <w:pPr>
        <w:pStyle w:val="110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tc>
      </w:tr>
    </w:tbl>
    <w:p>
      <w:pPr>
        <w:pStyle w:val="1100"/>
        <w:ind w:right="-46"/>
        <w:spacing w:line="583" w:lineRule="auto"/>
        <w:rPr>
          <w:rFonts w:hint="eastAsia"/>
          <w:b/>
          <w:bCs/>
        </w:rPr>
      </w:pPr>
      <w:r>
        <w:rPr>
          <w:rFonts w:hint="eastAsia"/>
          <w:b/>
          <w:bCs/>
        </w:rPr>
        <w:t xml:space="preserve">投标人近三个月内任意一个月（自开标之日往前推）为其缴纳社保的记录</w:t>
      </w:r>
      <w:r/>
    </w:p>
    <w:p>
      <w:pPr>
        <w:pStyle w:val="1068"/>
        <w:spacing w:line="360" w:lineRule="auto"/>
        <w:rPr>
          <w:rFonts w:hint="eastAsia" w:ascii="宋体" w:hAnsi="宋体" w:cs="宋体"/>
          <w:szCs w:val="21"/>
        </w:rPr>
      </w:pPr>
      <w:r>
        <w:rPr>
          <w:rFonts w:hint="eastAsia" w:ascii="宋体" w:hAnsi="宋体" w:cs="宋体"/>
          <w:szCs w:val="21"/>
        </w:rPr>
      </w:r>
      <w:r/>
    </w:p>
    <w:p>
      <w:pPr>
        <w:pStyle w:val="106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68"/>
        <w:jc w:val="left"/>
        <w:widowControl/>
        <w:rPr>
          <w:rFonts w:hint="eastAsia" w:ascii="宋体" w:hAnsi="宋体"/>
          <w:sz w:val="24"/>
        </w:rPr>
      </w:pPr>
      <w:r>
        <w:rPr>
          <w:rFonts w:hint="eastAsia" w:ascii="宋体" w:hAnsi="宋体"/>
          <w:sz w:val="24"/>
        </w:rPr>
      </w:r>
      <w:r/>
    </w:p>
    <w:p>
      <w:pPr>
        <w:pStyle w:val="106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68"/>
        <w:ind w:firstLine="321"/>
        <w:jc w:val="center"/>
        <w:spacing w:line="560" w:lineRule="exact"/>
        <w:rPr>
          <w:rFonts w:hint="eastAsia" w:ascii="宋体" w:hAnsi="宋体"/>
          <w:b/>
          <w:sz w:val="32"/>
          <w:szCs w:val="32"/>
        </w:rPr>
      </w:pPr>
      <w:r>
        <w:rPr>
          <w:rFonts w:hint="eastAsia" w:ascii="宋体" w:hAnsi="宋体"/>
          <w:b/>
          <w:sz w:val="32"/>
          <w:szCs w:val="32"/>
        </w:rPr>
      </w:r>
      <w:r/>
    </w:p>
    <w:p>
      <w:pPr>
        <w:pStyle w:val="106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68"/>
        <w:ind w:firstLine="640"/>
        <w:rPr>
          <w:rFonts w:ascii="宋体" w:hAnsi="宋体"/>
        </w:rPr>
      </w:pPr>
      <w:r>
        <w:rPr>
          <w:rFonts w:ascii="宋体" w:hAnsi="宋体"/>
        </w:rPr>
      </w:r>
      <w:r/>
    </w:p>
    <w:p>
      <w:pPr>
        <w:pStyle w:val="106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bookmarkStart w:id="837" w:name="_Hlt520350918"/>
      <w:r/>
      <w:bookmarkEnd w:id="837"/>
      <w:r/>
      <w:bookmarkStart w:id="838" w:name="_Hlt520274065"/>
      <w:r/>
      <w:bookmarkEnd w:id="838"/>
      <w:r/>
      <w:bookmarkStart w:id="839" w:name="_Hlt520343392"/>
      <w:r/>
      <w:bookmarkEnd w:id="839"/>
      <w:r/>
      <w:bookmarkStart w:id="840" w:name="_Hlt520355504"/>
      <w:r/>
      <w:bookmarkEnd w:id="840"/>
      <w:r/>
      <w:bookmarkStart w:id="841" w:name="_Hlt520274407"/>
      <w:r/>
      <w:bookmarkEnd w:id="841"/>
      <w:r/>
      <w:bookmarkStart w:id="842" w:name="_Hlt520274393"/>
      <w:r/>
      <w:bookmarkEnd w:id="842"/>
      <w:r/>
      <w:bookmarkStart w:id="843" w:name="_Hlt520271212"/>
      <w:r/>
      <w:bookmarkEnd w:id="843"/>
      <w:r/>
      <w:bookmarkStart w:id="844" w:name="_Hlt520274121"/>
      <w:r/>
      <w:bookmarkEnd w:id="844"/>
      <w:r/>
      <w:bookmarkStart w:id="845" w:name="_Hlt520343000"/>
      <w:r/>
      <w:bookmarkEnd w:id="845"/>
      <w:r/>
      <w:bookmarkStart w:id="846" w:name="_Hlt520273711"/>
      <w:r/>
      <w:bookmarkEnd w:id="846"/>
      <w:r/>
      <w:bookmarkStart w:id="847" w:name="_Toc226309801"/>
      <w:r/>
      <w:bookmarkStart w:id="848" w:name="_Toc305158825"/>
      <w:r/>
      <w:bookmarkStart w:id="849" w:name="_Toc264969247"/>
      <w:r/>
      <w:bookmarkStart w:id="850" w:name="_Toc127151557"/>
      <w:r/>
      <w:bookmarkStart w:id="851" w:name="_Toc480942350"/>
      <w:r/>
      <w:bookmarkStart w:id="852" w:name="_Toc150774762"/>
      <w:r/>
      <w:bookmarkStart w:id="853" w:name="_Toc226337253"/>
      <w:r/>
      <w:bookmarkStart w:id="854" w:name="_Toc226965747"/>
      <w:r/>
      <w:bookmarkStart w:id="855" w:name="_Toc142311059"/>
      <w:r/>
      <w:bookmarkStart w:id="856" w:name="_Ref467988705"/>
      <w:r/>
      <w:bookmarkStart w:id="857" w:name="_Toc520356218"/>
      <w:r/>
      <w:bookmarkStart w:id="858" w:name="_Toc265228395"/>
      <w:r/>
      <w:bookmarkStart w:id="859" w:name="_Toc305158899"/>
      <w:r/>
      <w:bookmarkStart w:id="860" w:name="_Toc150480795"/>
      <w:r/>
      <w:bookmarkStart w:id="861" w:name="_Toc195842922"/>
      <w:r/>
      <w:bookmarkStart w:id="862"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ascii="宋体" w:hAnsi="宋体"/>
          <w:b/>
          <w:sz w:val="24"/>
        </w:rPr>
        <w:t xml:space="preserve">（实质性格式）</w:t>
      </w:r>
      <w:r>
        <w:rPr>
          <w:rFonts w:ascii="宋体" w:hAnsi="宋体"/>
          <w:b/>
          <w:sz w:val="24"/>
          <w:szCs w:val="20"/>
        </w:rPr>
      </w:r>
      <w:r/>
    </w:p>
    <w:p>
      <w:pPr>
        <w:pStyle w:val="1068"/>
        <w:jc w:val="center"/>
        <w:spacing w:line="360" w:lineRule="exact"/>
        <w:rPr>
          <w:rFonts w:ascii="宋体" w:hAnsi="宋体"/>
          <w:b/>
          <w:sz w:val="36"/>
          <w:szCs w:val="36"/>
        </w:rPr>
      </w:pPr>
      <w:r/>
      <w:bookmarkStart w:id="863" w:name="_Toc226337254"/>
      <w:r/>
      <w:bookmarkStart w:id="864" w:name="_Toc195842923"/>
      <w:r/>
      <w:bookmarkStart w:id="865" w:name="_Toc164608672"/>
      <w:r/>
      <w:bookmarkStart w:id="866" w:name="_Toc226309802"/>
      <w:r/>
      <w:bookmarkStart w:id="867" w:name="_Toc265228396"/>
      <w:r/>
      <w:bookmarkStart w:id="868" w:name="_Toc226965831"/>
      <w:r/>
      <w:bookmarkStart w:id="869" w:name="_Toc164608827"/>
      <w:r/>
      <w:bookmarkStart w:id="870" w:name="_Toc264969248"/>
      <w:r/>
      <w:bookmarkStart w:id="871" w:name="_Toc305158826"/>
      <w:r/>
      <w:bookmarkStart w:id="872" w:name="_Toc305158900"/>
      <w:r/>
      <w:bookmarkStart w:id="873" w:name="_Toc226965748"/>
      <w:r>
        <w:rPr>
          <w:rFonts w:hint="eastAsia" w:ascii="宋体" w:hAnsi="宋体"/>
          <w:b/>
          <w:sz w:val="36"/>
          <w:szCs w:val="36"/>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Pr>
          <w:rFonts w:ascii="宋体" w:hAnsi="宋体"/>
          <w:b/>
          <w:sz w:val="36"/>
          <w:szCs w:val="36"/>
        </w:rPr>
      </w:r>
      <w:r/>
    </w:p>
    <w:p>
      <w:pPr>
        <w:pStyle w:val="1068"/>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6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3973"/>
      </w:tblGrid>
      <w:tr>
        <w:trPr>
          <w:trHeight w:val="1215"/>
        </w:trPr>
        <w:tc>
          <w:tcPr>
            <w:tcW w:w="412" w:type="pct"/>
            <w:vAlign w:val="center"/>
            <w:textDirection w:val="lrTb"/>
            <w:noWrap w:val="false"/>
          </w:tcPr>
          <w:p>
            <w:pPr>
              <w:pStyle w:val="106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textDirection w:val="lrTb"/>
            <w:noWrap w:val="false"/>
          </w:tcPr>
          <w:p>
            <w:pPr>
              <w:pStyle w:val="1068"/>
              <w:jc w:val="center"/>
              <w:tabs>
                <w:tab w:val="left" w:pos="5580" w:leader="none"/>
              </w:tabs>
              <w:rPr>
                <w:rFonts w:ascii="宋体" w:hAnsi="宋体"/>
                <w:b/>
                <w:sz w:val="24"/>
              </w:rPr>
            </w:pPr>
            <w:r>
              <w:rPr>
                <w:rFonts w:ascii="宋体" w:hAnsi="宋体"/>
                <w:b/>
                <w:sz w:val="24"/>
              </w:rPr>
              <w:t xml:space="preserve">投标人名称</w:t>
            </w:r>
            <w:r/>
          </w:p>
        </w:tc>
        <w:tc>
          <w:tcPr>
            <w:tcW w:w="2373" w:type="pct"/>
            <w:vAlign w:val="center"/>
            <w:textDirection w:val="lrTb"/>
            <w:noWrap w:val="false"/>
          </w:tcPr>
          <w:p>
            <w:pPr>
              <w:pStyle w:val="1068"/>
              <w:jc w:val="center"/>
              <w:tabs>
                <w:tab w:val="left" w:pos="5580" w:leader="none"/>
              </w:tabs>
              <w:rPr>
                <w:rFonts w:hint="eastAsia" w:ascii="宋体" w:hAnsi="宋体"/>
                <w:b/>
                <w:sz w:val="24"/>
              </w:rPr>
            </w:pPr>
            <w:r>
              <w:rPr>
                <w:rFonts w:ascii="宋体" w:hAnsi="宋体"/>
                <w:b/>
                <w:sz w:val="24"/>
              </w:rPr>
              <w:t xml:space="preserve">投标</w:t>
            </w:r>
            <w:r>
              <w:rPr>
                <w:rFonts w:hint="eastAsia" w:ascii="宋体" w:hAnsi="宋体"/>
                <w:b/>
                <w:sz w:val="24"/>
              </w:rPr>
              <w:t xml:space="preserve">优惠率</w:t>
            </w:r>
            <w:r/>
          </w:p>
        </w:tc>
      </w:tr>
      <w:tr>
        <w:trPr>
          <w:trHeight w:val="976"/>
        </w:trPr>
        <w:tc>
          <w:tcPr>
            <w:tcW w:w="412"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2373" w:type="pct"/>
            <w:vAlign w:val="center"/>
            <w:textDirection w:val="lrTb"/>
            <w:noWrap w:val="false"/>
          </w:tcPr>
          <w:p>
            <w:pPr>
              <w:pStyle w:val="1068"/>
              <w:jc w:val="center"/>
              <w:tabs>
                <w:tab w:val="left" w:pos="5580" w:leader="none"/>
              </w:tabs>
              <w:rPr>
                <w:rFonts w:ascii="宋体" w:hAnsi="宋体"/>
                <w:sz w:val="24"/>
              </w:rPr>
            </w:pPr>
            <w:r>
              <w:rPr>
                <w:rFonts w:ascii="宋体" w:hAnsi="宋体"/>
                <w:sz w:val="24"/>
                <w:u w:val="single"/>
              </w:rPr>
              <w:t xml:space="preserve">         </w:t>
            </w:r>
            <w:r>
              <w:rPr>
                <w:rFonts w:hint="eastAsia" w:ascii="宋体" w:hAnsi="宋体"/>
                <w:sz w:val="24"/>
              </w:rPr>
              <w:t xml:space="preserve">%</w:t>
            </w:r>
            <w:r>
              <w:rPr>
                <w:rFonts w:ascii="宋体" w:hAnsi="宋体"/>
                <w:sz w:val="24"/>
              </w:rPr>
            </w:r>
            <w:r/>
          </w:p>
        </w:tc>
      </w:tr>
    </w:tbl>
    <w:p>
      <w:pPr>
        <w:pStyle w:val="1068"/>
        <w:jc w:val="left"/>
        <w:rPr>
          <w:rFonts w:ascii="宋体" w:hAnsi="宋体"/>
          <w:sz w:val="24"/>
        </w:rPr>
      </w:pPr>
      <w:r>
        <w:rPr>
          <w:rFonts w:ascii="宋体" w:hAnsi="宋体"/>
          <w:sz w:val="24"/>
        </w:rPr>
      </w:r>
      <w:r/>
    </w:p>
    <w:p>
      <w:pPr>
        <w:pStyle w:val="1068"/>
        <w:jc w:val="left"/>
        <w:rPr>
          <w:rFonts w:ascii="宋体" w:hAnsi="宋体"/>
          <w:sz w:val="24"/>
        </w:rPr>
      </w:pPr>
      <w:r>
        <w:rPr>
          <w:rFonts w:ascii="宋体" w:hAnsi="宋体"/>
          <w:sz w:val="24"/>
        </w:rPr>
      </w:r>
      <w:r/>
    </w:p>
    <w:p>
      <w:pPr>
        <w:pStyle w:val="1068"/>
        <w:ind w:firstLine="482"/>
        <w:tabs>
          <w:tab w:val="left" w:pos="5580" w:leader="none"/>
        </w:tabs>
        <w:rPr>
          <w:rFonts w:ascii="宋体" w:hAnsi="宋体"/>
          <w:b/>
          <w:sz w:val="24"/>
        </w:rPr>
      </w:pPr>
      <w:r>
        <w:rPr>
          <w:rFonts w:ascii="宋体" w:hAnsi="宋体"/>
          <w:b/>
          <w:sz w:val="24"/>
        </w:rPr>
        <w:t xml:space="preserve">注：</w:t>
      </w:r>
      <w:r/>
    </w:p>
    <w:p>
      <w:pPr>
        <w:pStyle w:val="1068"/>
        <w:ind w:firstLine="482"/>
        <w:tabs>
          <w:tab w:val="left" w:pos="5580" w:leader="none"/>
        </w:tabs>
        <w:rPr>
          <w:rFonts w:ascii="宋体" w:hAnsi="宋体" w:cs="宋体"/>
          <w:b/>
          <w:bCs/>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评审时各单位投标报价以（1-优惠率）*100%计算价格分。</w:t>
      </w:r>
      <w:r>
        <w:rPr>
          <w:rFonts w:ascii="宋体" w:hAnsi="宋体" w:cs="宋体"/>
          <w:b/>
          <w:bCs/>
          <w:sz w:val="24"/>
          <w:lang w:bidi="ar"/>
        </w:rPr>
      </w:r>
      <w:r/>
    </w:p>
    <w:p>
      <w:pPr>
        <w:pStyle w:val="1068"/>
        <w:ind w:firstLine="482"/>
        <w:tabs>
          <w:tab w:val="left" w:pos="5580" w:leader="none"/>
        </w:tabs>
        <w:rPr>
          <w:rFonts w:hint="eastAsia" w:ascii="宋体" w:hAnsi="宋体"/>
          <w:b/>
          <w:bCs/>
          <w:sz w:val="24"/>
          <w:szCs w:val="21"/>
        </w:rPr>
      </w:pPr>
      <w:r>
        <w:rPr>
          <w:rFonts w:hint="eastAsia" w:ascii="宋体" w:hAnsi="宋体" w:cs="宋体"/>
          <w:b/>
          <w:bCs/>
          <w:sz w:val="24"/>
          <w:lang w:bidi="ar"/>
        </w:rPr>
        <w:t xml:space="preserve">2</w:t>
      </w:r>
      <w:r>
        <w:rPr>
          <w:rFonts w:ascii="宋体" w:hAnsi="宋体" w:cs="宋体"/>
          <w:b/>
          <w:bCs/>
          <w:sz w:val="24"/>
          <w:lang w:bidi="ar"/>
        </w:rPr>
        <w:t xml:space="preserve">.</w:t>
      </w:r>
      <w:r>
        <w:rPr>
          <w:rFonts w:hint="eastAsia" w:ascii="宋体" w:hAnsi="宋体" w:cs="宋体"/>
          <w:b/>
          <w:bCs/>
          <w:sz w:val="24"/>
        </w:rPr>
        <w:t xml:space="preserve">本项目以优惠率进行报价（小数点后保留一位）。报价优惠率报价区间为0-100%，超出报价范围的投标无效。最终结算价=标准收费（标准收费率）×（1-优惠率）。（例如：优惠率20%，则现场查勘计费结算价为56元/个，以此为例）。</w:t>
      </w:r>
      <w:r>
        <w:rPr>
          <w:rFonts w:hint="eastAsia" w:ascii="宋体" w:hAnsi="宋体"/>
          <w:b/>
          <w:bCs/>
          <w:sz w:val="24"/>
          <w:szCs w:val="21"/>
        </w:rPr>
      </w:r>
      <w:r/>
    </w:p>
    <w:p>
      <w:pPr>
        <w:pStyle w:val="1068"/>
        <w:spacing w:before="25" w:after="25" w:line="360" w:lineRule="auto"/>
        <w:rPr>
          <w:rFonts w:ascii="宋体" w:hAnsi="宋体"/>
          <w:sz w:val="24"/>
          <w:lang w:val="zh-CN"/>
        </w:rPr>
      </w:pPr>
      <w:r>
        <w:rPr>
          <w:rFonts w:ascii="宋体" w:hAnsi="宋体"/>
          <w:sz w:val="24"/>
          <w:lang w:val="zh-CN"/>
        </w:rPr>
      </w:r>
      <w:r/>
    </w:p>
    <w:p>
      <w:pPr>
        <w:pStyle w:val="1068"/>
        <w:spacing w:before="25" w:after="25" w:line="360" w:lineRule="auto"/>
        <w:rPr>
          <w:rFonts w:ascii="宋体" w:hAnsi="宋体"/>
          <w:sz w:val="24"/>
          <w:lang w:val="zh-CN"/>
        </w:rPr>
      </w:pPr>
      <w:r>
        <w:rPr>
          <w:rFonts w:ascii="宋体" w:hAnsi="宋体"/>
          <w:sz w:val="24"/>
          <w:lang w:val="zh-CN"/>
        </w:rPr>
        <w:t xml:space="preserve">                         </w:t>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bookmarkStart w:id="874" w:name="_Toc226965749"/>
      <w:r/>
      <w:bookmarkStart w:id="875" w:name="_Toc264969249"/>
      <w:r/>
      <w:bookmarkStart w:id="876" w:name="_Toc127151558"/>
      <w:r/>
      <w:bookmarkStart w:id="877" w:name="_Toc150774763"/>
      <w:r/>
      <w:bookmarkStart w:id="878" w:name="_Toc150480796"/>
      <w:r/>
      <w:bookmarkStart w:id="879" w:name="_Toc305158901"/>
      <w:r/>
      <w:bookmarkStart w:id="880" w:name="_Toc265228397"/>
      <w:r/>
      <w:bookmarkStart w:id="881" w:name="_Toc226309803"/>
      <w:r/>
      <w:bookmarkStart w:id="882" w:name="_Toc226337255"/>
      <w:r/>
      <w:bookmarkStart w:id="883" w:name="_Toc305158827"/>
      <w:r/>
      <w:bookmarkStart w:id="884" w:name="_Toc195842924"/>
      <w:r/>
      <w:bookmarkStart w:id="885" w:name="_Toc226965832"/>
      <w:r/>
      <w:bookmarkStart w:id="886"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b/>
          <w:sz w:val="24"/>
        </w:rPr>
        <w:t xml:space="preserve">（实质性格式）</w:t>
      </w:r>
      <w:r>
        <w:rPr>
          <w:rFonts w:ascii="宋体" w:hAnsi="宋体"/>
          <w:b/>
          <w:sz w:val="24"/>
          <w:szCs w:val="20"/>
        </w:rPr>
      </w:r>
      <w:r/>
    </w:p>
    <w:p>
      <w:pPr>
        <w:pStyle w:val="1068"/>
        <w:jc w:val="center"/>
        <w:spacing w:line="360" w:lineRule="exact"/>
        <w:rPr>
          <w:rFonts w:ascii="宋体" w:hAnsi="宋体"/>
          <w:sz w:val="36"/>
          <w:szCs w:val="36"/>
        </w:rPr>
      </w:pPr>
      <w:r>
        <w:rPr>
          <w:rFonts w:ascii="宋体" w:hAnsi="宋体"/>
          <w:sz w:val="36"/>
          <w:szCs w:val="36"/>
        </w:rPr>
      </w:r>
      <w:r/>
    </w:p>
    <w:p>
      <w:pPr>
        <w:pStyle w:val="106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68"/>
        <w:jc w:val="center"/>
        <w:spacing w:line="260" w:lineRule="exact"/>
        <w:rPr>
          <w:rFonts w:ascii="宋体" w:hAnsi="宋体"/>
          <w:sz w:val="36"/>
          <w:szCs w:val="36"/>
        </w:rPr>
      </w:pPr>
      <w:r>
        <w:rPr>
          <w:rFonts w:ascii="宋体" w:hAnsi="宋体"/>
          <w:sz w:val="36"/>
          <w:szCs w:val="36"/>
        </w:rPr>
      </w:r>
      <w:r/>
    </w:p>
    <w:p>
      <w:pPr>
        <w:pStyle w:val="106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2811"/>
        <w:gridCol w:w="1159"/>
        <w:gridCol w:w="1250"/>
        <w:gridCol w:w="3535"/>
      </w:tblGrid>
      <w:tr>
        <w:trPr>
          <w:cantSplit/>
          <w:trHeight w:val="934"/>
        </w:trPr>
        <w:tc>
          <w:tcPr>
            <w:tcW w:w="287" w:type="pct"/>
            <w:vAlign w:val="center"/>
            <w:textDirection w:val="lrTb"/>
            <w:noWrap w:val="false"/>
          </w:tcPr>
          <w:p>
            <w:pPr>
              <w:pStyle w:val="1068"/>
              <w:jc w:val="center"/>
              <w:spacing w:line="400" w:lineRule="exact"/>
              <w:widowControl/>
              <w:rPr>
                <w:rFonts w:ascii="宋体" w:hAnsi="宋体" w:cs="Arial"/>
                <w:sz w:val="22"/>
              </w:rPr>
            </w:pPr>
            <w:r/>
            <w:bookmarkStart w:id="887" w:name="_Toc264969252"/>
            <w:r/>
            <w:bookmarkStart w:id="888" w:name="_Toc226965752"/>
            <w:r/>
            <w:bookmarkStart w:id="889" w:name="_Toc305158830"/>
            <w:r/>
            <w:bookmarkStart w:id="890" w:name="_Toc142311062"/>
            <w:r/>
            <w:bookmarkStart w:id="891" w:name="_Toc195842927"/>
            <w:r/>
            <w:bookmarkStart w:id="892" w:name="_Toc150774765"/>
            <w:r/>
            <w:bookmarkStart w:id="893" w:name="_Toc305158904"/>
            <w:r/>
            <w:bookmarkStart w:id="894" w:name="_Toc265228400"/>
            <w:r/>
            <w:bookmarkStart w:id="895" w:name="_Toc127151562"/>
            <w:r/>
            <w:bookmarkStart w:id="896" w:name="_Toc226309806"/>
            <w:r/>
            <w:bookmarkStart w:id="897" w:name="_Toc150480798"/>
            <w:r/>
            <w:bookmarkStart w:id="898" w:name="_Toc226337258"/>
            <w:r/>
            <w:bookmarkStart w:id="899" w:name="_Toc226965835"/>
            <w:r/>
            <w:bookmarkStart w:id="900" w:name="_Toc264969251"/>
            <w:r/>
            <w:bookmarkStart w:id="901" w:name="_Toc265228399"/>
            <w:r/>
            <w:bookmarkStart w:id="902" w:name="_Toc226309805"/>
            <w:r/>
            <w:bookmarkStart w:id="903" w:name="_Toc195842926"/>
            <w:r/>
            <w:bookmarkStart w:id="904" w:name="_Toc142311061"/>
            <w:r/>
            <w:bookmarkStart w:id="905" w:name="_Toc226337257"/>
            <w:r/>
            <w:bookmarkStart w:id="906" w:name="_Toc127151561"/>
            <w:r/>
            <w:bookmarkStart w:id="907" w:name="_Toc226965834"/>
            <w:r/>
            <w:bookmarkStart w:id="908" w:name="_Toc305158903"/>
            <w:r/>
            <w:bookmarkStart w:id="909" w:name="_Toc305158829"/>
            <w:r/>
            <w:bookmarkStart w:id="910" w:name="_Toc226965751"/>
            <w:r/>
            <w:bookmarkStart w:id="911" w:name="_Toc150774764"/>
            <w:r/>
            <w:bookmarkStart w:id="912" w:name="_Toc150480797"/>
            <w:r>
              <w:rPr>
                <w:rFonts w:hint="eastAsia" w:ascii="宋体" w:hAnsi="宋体" w:cs="Arial"/>
                <w:sz w:val="22"/>
              </w:rPr>
              <w:t xml:space="preserve">序号</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分项名称</w:t>
            </w:r>
            <w:r>
              <w:rPr>
                <w:rFonts w:ascii="宋体" w:hAnsi="宋体" w:cs="Arial"/>
                <w:sz w:val="22"/>
              </w:rPr>
            </w:r>
            <w:r/>
          </w:p>
        </w:tc>
        <w:tc>
          <w:tcPr>
            <w:tcW w:w="624"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服务内容</w:t>
            </w:r>
            <w:r>
              <w:rPr>
                <w:rFonts w:ascii="宋体" w:hAnsi="宋体" w:cs="Arial"/>
                <w:sz w:val="22"/>
              </w:rPr>
            </w:r>
            <w:r/>
          </w:p>
        </w:tc>
        <w:tc>
          <w:tcPr>
            <w:tcW w:w="673" w:type="pct"/>
            <w:vAlign w:val="center"/>
            <w:textDirection w:val="lrTb"/>
            <w:noWrap w:val="false"/>
          </w:tcPr>
          <w:p>
            <w:pPr>
              <w:pStyle w:val="1068"/>
              <w:jc w:val="center"/>
              <w:spacing w:line="400" w:lineRule="exact"/>
              <w:widowControl/>
              <w:rPr>
                <w:rFonts w:ascii="宋体" w:hAnsi="宋体" w:cs="Arial"/>
                <w:b/>
                <w:sz w:val="22"/>
              </w:rPr>
            </w:pPr>
            <w:r>
              <w:rPr>
                <w:rFonts w:hint="eastAsia" w:ascii="宋体" w:hAnsi="宋体" w:cs="Arial"/>
                <w:b/>
                <w:sz w:val="22"/>
              </w:rPr>
              <w:t xml:space="preserve">投标</w:t>
            </w:r>
            <w:r>
              <w:rPr>
                <w:rFonts w:ascii="宋体" w:hAnsi="宋体" w:cs="Arial"/>
                <w:b/>
                <w:sz w:val="22"/>
              </w:rPr>
            </w:r>
            <w:r/>
          </w:p>
          <w:p>
            <w:pPr>
              <w:pStyle w:val="1068"/>
              <w:jc w:val="center"/>
              <w:spacing w:line="400" w:lineRule="exact"/>
              <w:widowControl/>
              <w:rPr>
                <w:rFonts w:ascii="宋体" w:hAnsi="宋体" w:cs="Arial"/>
                <w:sz w:val="22"/>
              </w:rPr>
            </w:pPr>
            <w:r>
              <w:rPr>
                <w:rFonts w:hint="eastAsia" w:ascii="宋体" w:hAnsi="宋体" w:cs="Arial"/>
                <w:b/>
                <w:sz w:val="22"/>
              </w:rPr>
              <w:t xml:space="preserve">优惠率</w:t>
            </w:r>
            <w:r>
              <w:rPr>
                <w:rFonts w:ascii="宋体" w:hAnsi="宋体" w:cs="Arial"/>
                <w:sz w:val="22"/>
              </w:rPr>
            </w:r>
            <w:r/>
          </w:p>
        </w:tc>
        <w:tc>
          <w:tcPr>
            <w:tcW w:w="1903" w:type="pct"/>
            <w:vAlign w:val="center"/>
            <w:textDirection w:val="lrTb"/>
            <w:noWrap w:val="false"/>
          </w:tcPr>
          <w:p>
            <w:pPr>
              <w:pStyle w:val="1068"/>
              <w:jc w:val="center"/>
              <w:spacing w:line="400" w:lineRule="exact"/>
              <w:widowControl/>
              <w:rPr>
                <w:rFonts w:hint="eastAsia" w:ascii="宋体" w:hAnsi="宋体" w:cs="Arial"/>
                <w:sz w:val="22"/>
              </w:rPr>
            </w:pPr>
            <w:r>
              <w:rPr>
                <w:rFonts w:hint="eastAsia" w:ascii="宋体" w:hAnsi="宋体" w:cs="Arial"/>
                <w:sz w:val="22"/>
              </w:rPr>
              <w:t xml:space="preserve">计费标准</w:t>
            </w:r>
            <w:r/>
          </w:p>
        </w:tc>
      </w:tr>
      <w:tr>
        <w:trPr>
          <w:cantSplit/>
          <w:trHeight w:val="690"/>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1</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b/>
                <w:bCs/>
                <w:sz w:val="22"/>
              </w:rPr>
            </w:pPr>
            <w:r>
              <w:rPr>
                <w:rFonts w:hint="eastAsia" w:ascii="宋体" w:hAnsi="宋体"/>
                <w:sz w:val="22"/>
              </w:rPr>
              <w:t xml:space="preserve">现场勘查计费标准：</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每个查勘维修项目</w:t>
            </w:r>
            <w:r>
              <w:rPr>
                <w:rFonts w:ascii="宋体" w:hAnsi="宋体" w:cs="Arial"/>
                <w:b/>
                <w:bCs/>
                <w:sz w:val="22"/>
              </w:rPr>
            </w:r>
            <w:r/>
          </w:p>
        </w:tc>
        <w:tc>
          <w:tcPr>
            <w:tcW w:w="624" w:type="pct"/>
            <w:vAlign w:val="center"/>
            <w:vMerge w:val="restart"/>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详见采购文件</w:t>
            </w:r>
            <w:r>
              <w:rPr>
                <w:rFonts w:ascii="宋体" w:hAnsi="宋体" w:cs="Arial"/>
                <w:sz w:val="22"/>
              </w:rPr>
            </w:r>
            <w:r/>
          </w:p>
        </w:tc>
        <w:tc>
          <w:tcPr>
            <w:tcW w:w="673" w:type="pct"/>
            <w:vAlign w:val="center"/>
            <w:vMerge w:val="restart"/>
            <w:textDirection w:val="lrTb"/>
            <w:noWrap w:val="false"/>
          </w:tcPr>
          <w:p>
            <w:pPr>
              <w:pStyle w:val="1068"/>
              <w:jc w:val="center"/>
              <w:spacing w:line="400" w:lineRule="exact"/>
              <w:widowControl/>
              <w:rPr>
                <w:rFonts w:ascii="宋体" w:hAnsi="宋体" w:cs="Arial"/>
                <w:sz w:val="22"/>
                <w:u w:val="single"/>
              </w:rPr>
            </w:pPr>
            <w:r>
              <w:rPr>
                <w:rFonts w:hint="eastAsia" w:ascii="宋体" w:hAnsi="宋体" w:cs="Arial"/>
                <w:sz w:val="22"/>
                <w:u w:val="single"/>
              </w:rPr>
              <w:t xml:space="preserve"> </w:t>
            </w:r>
            <w:r>
              <w:rPr>
                <w:rFonts w:ascii="宋体" w:hAnsi="宋体" w:cs="Arial"/>
                <w:sz w:val="22"/>
                <w:u w:val="single"/>
              </w:rPr>
              <w:t xml:space="preserve">      </w:t>
            </w:r>
            <w:r>
              <w:rPr>
                <w:rFonts w:hint="eastAsia" w:ascii="宋体" w:hAnsi="宋体" w:cs="Arial"/>
                <w:sz w:val="22"/>
                <w:u w:val="single"/>
              </w:rPr>
              <w:t xml:space="preserve">%</w:t>
            </w:r>
            <w:r>
              <w:rPr>
                <w:rFonts w:ascii="宋体" w:hAnsi="宋体" w:cs="Arial"/>
                <w:sz w:val="22"/>
                <w:u w:val="single"/>
              </w:rPr>
            </w:r>
            <w:r/>
          </w:p>
        </w:tc>
        <w:tc>
          <w:tcPr>
            <w:tcW w:w="1903" w:type="pct"/>
            <w:vAlign w:val="center"/>
            <w:textDirection w:val="lrTb"/>
            <w:noWrap w:val="false"/>
          </w:tcPr>
          <w:p>
            <w:pPr>
              <w:pStyle w:val="1068"/>
              <w:spacing w:line="400" w:lineRule="exact"/>
              <w:widowControl/>
              <w:rPr>
                <w:rFonts w:ascii="宋体" w:hAnsi="宋体" w:cs="Arial"/>
                <w:sz w:val="22"/>
              </w:rPr>
            </w:pPr>
            <w:r>
              <w:rPr>
                <w:rFonts w:hint="eastAsia" w:ascii="宋体" w:hAnsi="宋体"/>
                <w:sz w:val="22"/>
              </w:rPr>
              <w:t xml:space="preserve">现场勘查计费标准：</w:t>
            </w: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每个查勘维修项目</w:t>
            </w:r>
            <w:r>
              <w:rPr>
                <w:rFonts w:ascii="宋体" w:hAnsi="宋体" w:cs="Arial"/>
                <w:sz w:val="22"/>
              </w:rPr>
            </w:r>
            <w:r/>
          </w:p>
        </w:tc>
      </w:tr>
      <w:tr>
        <w:trPr>
          <w:cantSplit/>
          <w:trHeight w:val="480"/>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2</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b/>
                <w:bCs/>
                <w:sz w:val="22"/>
              </w:rPr>
            </w:pPr>
            <w:r>
              <w:rPr>
                <w:rFonts w:hint="eastAsia" w:ascii="宋体" w:hAnsi="宋体"/>
                <w:bCs/>
                <w:sz w:val="22"/>
                <w:lang w:val="zh-CN"/>
              </w:rPr>
              <w:t xml:space="preserve">维修资金准予使用前公示</w:t>
            </w:r>
            <w:r>
              <w:rPr>
                <w:rFonts w:hint="eastAsia" w:ascii="宋体" w:hAnsi="宋体"/>
                <w:bCs/>
                <w:sz w:val="22"/>
              </w:rPr>
              <w:t xml:space="preserve">计费标准为：</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每个维修资金准予使用前公示的项目</w:t>
            </w:r>
            <w:r>
              <w:rPr>
                <w:rFonts w:ascii="宋体" w:hAnsi="宋体" w:cs="Arial"/>
                <w:b/>
                <w:bCs/>
                <w:sz w:val="22"/>
              </w:rPr>
            </w:r>
            <w:r/>
          </w:p>
        </w:tc>
        <w:tc>
          <w:tcPr>
            <w:tcW w:w="624"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1068"/>
              <w:spacing w:line="400" w:lineRule="exact"/>
              <w:widowControl/>
              <w:rPr>
                <w:rFonts w:ascii="宋体" w:hAnsi="宋体" w:cs="Arial"/>
                <w:sz w:val="22"/>
              </w:rPr>
            </w:pPr>
            <w:r>
              <w:rPr>
                <w:rFonts w:hint="eastAsia" w:ascii="宋体" w:hAnsi="宋体"/>
                <w:bCs/>
                <w:sz w:val="22"/>
                <w:lang w:val="zh-CN"/>
              </w:rPr>
              <w:t xml:space="preserve">维修资金准予使用前公示</w:t>
            </w:r>
            <w:r>
              <w:rPr>
                <w:rFonts w:hint="eastAsia" w:ascii="宋体" w:hAnsi="宋体"/>
                <w:bCs/>
                <w:sz w:val="22"/>
              </w:rPr>
              <w:t xml:space="preserve">计费标准为：</w:t>
            </w: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每个维修资金准予使用前公示的项目</w:t>
            </w:r>
            <w:r>
              <w:rPr>
                <w:rFonts w:ascii="宋体" w:hAnsi="宋体" w:cs="Arial"/>
                <w:sz w:val="22"/>
              </w:rPr>
            </w:r>
            <w:r/>
          </w:p>
        </w:tc>
      </w:tr>
      <w:tr>
        <w:trPr>
          <w:cantSplit/>
          <w:trHeight w:val="1036"/>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3</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b/>
                <w:bCs/>
                <w:sz w:val="22"/>
              </w:rPr>
            </w:pPr>
            <w:r>
              <w:rPr>
                <w:rFonts w:hint="eastAsia" w:ascii="宋体" w:hAnsi="宋体"/>
                <w:bCs/>
                <w:sz w:val="22"/>
                <w:lang w:val="zh-CN"/>
              </w:rPr>
              <w:t xml:space="preserve">维修资金划转前公示</w:t>
            </w:r>
            <w:r>
              <w:rPr>
                <w:rFonts w:hint="eastAsia" w:ascii="宋体" w:hAnsi="宋体"/>
                <w:bCs/>
                <w:sz w:val="22"/>
              </w:rPr>
              <w:t xml:space="preserve">计费标准为：</w:t>
            </w:r>
            <w:r>
              <w:rPr>
                <w:rFonts w:ascii="宋体" w:hAnsi="宋体"/>
                <w:bCs/>
                <w:sz w:val="22"/>
              </w:rPr>
              <w:t xml:space="preserve">70</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每个维修资金划转前公示的项目</w:t>
            </w:r>
            <w:r>
              <w:rPr>
                <w:rFonts w:ascii="宋体" w:hAnsi="宋体" w:cs="Arial"/>
                <w:b/>
                <w:bCs/>
                <w:sz w:val="22"/>
              </w:rPr>
            </w:r>
            <w:r/>
          </w:p>
        </w:tc>
        <w:tc>
          <w:tcPr>
            <w:tcW w:w="624"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1068"/>
              <w:spacing w:line="400" w:lineRule="exact"/>
              <w:widowControl/>
              <w:rPr>
                <w:rFonts w:ascii="宋体" w:hAnsi="宋体"/>
                <w:bCs/>
                <w:sz w:val="22"/>
              </w:rPr>
            </w:pPr>
            <w:r>
              <w:rPr>
                <w:rFonts w:hint="eastAsia" w:ascii="宋体" w:hAnsi="宋体"/>
                <w:bCs/>
                <w:sz w:val="22"/>
                <w:lang w:val="zh-CN"/>
              </w:rPr>
              <w:t xml:space="preserve">维修资金划转前公示</w:t>
            </w:r>
            <w:r>
              <w:rPr>
                <w:rFonts w:hint="eastAsia" w:ascii="宋体" w:hAnsi="宋体"/>
                <w:bCs/>
                <w:sz w:val="22"/>
              </w:rPr>
              <w:t xml:space="preserve">计费标准为：</w:t>
            </w:r>
            <w:r>
              <w:rPr>
                <w:rFonts w:ascii="宋体" w:hAnsi="宋体"/>
                <w:bCs/>
                <w:sz w:val="22"/>
              </w:rPr>
            </w:r>
            <w:r/>
          </w:p>
          <w:p>
            <w:pPr>
              <w:pStyle w:val="1068"/>
              <w:spacing w:line="400" w:lineRule="exact"/>
              <w:widowControl/>
              <w:rPr>
                <w:rFonts w:ascii="宋体" w:hAnsi="宋体" w:cs="Arial"/>
                <w:sz w:val="22"/>
              </w:rPr>
            </w:pPr>
            <w:r>
              <w:rPr>
                <w:rFonts w:ascii="宋体" w:hAnsi="宋体"/>
                <w:bCs/>
                <w:sz w:val="22"/>
                <w:u w:val="single"/>
              </w:rPr>
              <w:t xml:space="preserve">     </w:t>
            </w:r>
            <w:r>
              <w:rPr>
                <w:rFonts w:hint="eastAsia" w:ascii="宋体" w:hAnsi="宋体"/>
                <w:bCs/>
                <w:sz w:val="22"/>
              </w:rPr>
              <w:t xml:space="preserve">元</w:t>
            </w:r>
            <w:r>
              <w:rPr>
                <w:rFonts w:ascii="宋体" w:hAnsi="宋体"/>
                <w:bCs/>
                <w:sz w:val="22"/>
              </w:rPr>
              <w:t xml:space="preserve">/</w:t>
            </w:r>
            <w:r>
              <w:rPr>
                <w:rFonts w:hint="eastAsia" w:ascii="宋体" w:hAnsi="宋体"/>
                <w:bCs/>
                <w:sz w:val="22"/>
              </w:rPr>
              <w:t xml:space="preserve">每个维修资金划转前公示的项目</w:t>
            </w:r>
            <w:r>
              <w:rPr>
                <w:rFonts w:ascii="宋体" w:hAnsi="宋体" w:cs="Arial"/>
                <w:sz w:val="22"/>
              </w:rPr>
            </w:r>
            <w:r/>
          </w:p>
        </w:tc>
      </w:tr>
      <w:tr>
        <w:trPr>
          <w:cantSplit/>
          <w:trHeight w:val="480"/>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4</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hint="eastAsia" w:ascii="宋体" w:hAnsi="宋体" w:cs="Arial"/>
                <w:b/>
                <w:bCs/>
                <w:sz w:val="22"/>
              </w:rPr>
            </w:pPr>
            <w:r>
              <w:rPr>
                <w:rFonts w:hint="eastAsia" w:ascii="宋体" w:hAnsi="宋体"/>
                <w:bCs/>
                <w:sz w:val="22"/>
              </w:rPr>
              <w:t xml:space="preserve">维修资金使用方案核对计费标准为：3</w:t>
            </w:r>
            <w:r>
              <w:rPr>
                <w:rFonts w:ascii="宋体" w:hAnsi="宋体"/>
                <w:bCs/>
                <w:sz w:val="22"/>
              </w:rPr>
              <w:t xml:space="preserve">0</w:t>
            </w:r>
            <w:r>
              <w:rPr>
                <w:rFonts w:hint="eastAsia" w:ascii="宋体" w:hAnsi="宋体"/>
                <w:bCs/>
                <w:sz w:val="22"/>
              </w:rPr>
              <w:t xml:space="preserve">元/每个申报维修资金使用方案的项目</w:t>
            </w:r>
            <w:r>
              <w:rPr>
                <w:rFonts w:hint="eastAsia" w:ascii="宋体" w:hAnsi="宋体" w:cs="Arial"/>
                <w:b/>
                <w:bCs/>
                <w:sz w:val="22"/>
              </w:rPr>
            </w:r>
            <w:r/>
          </w:p>
        </w:tc>
        <w:tc>
          <w:tcPr>
            <w:tcW w:w="624"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1068"/>
              <w:spacing w:line="400" w:lineRule="exact"/>
              <w:widowControl/>
              <w:rPr>
                <w:rFonts w:ascii="宋体" w:hAnsi="宋体" w:cs="Arial"/>
                <w:sz w:val="22"/>
              </w:rPr>
            </w:pPr>
            <w:r>
              <w:rPr>
                <w:rFonts w:hint="eastAsia" w:ascii="宋体" w:hAnsi="宋体"/>
                <w:bCs/>
                <w:sz w:val="22"/>
              </w:rPr>
              <w:t xml:space="preserve">维修资金使用方案核对计费标准为：</w:t>
            </w:r>
            <w:r>
              <w:rPr>
                <w:rFonts w:ascii="宋体" w:hAnsi="宋体"/>
                <w:bCs/>
                <w:sz w:val="22"/>
                <w:u w:val="single"/>
              </w:rPr>
              <w:t xml:space="preserve">     </w:t>
            </w:r>
            <w:r>
              <w:rPr>
                <w:rFonts w:hint="eastAsia" w:ascii="宋体" w:hAnsi="宋体"/>
                <w:bCs/>
                <w:sz w:val="22"/>
              </w:rPr>
              <w:t xml:space="preserve">元/每个申报维修资金使用方案的项目</w:t>
            </w:r>
            <w:r>
              <w:rPr>
                <w:rFonts w:ascii="宋体" w:hAnsi="宋体" w:cs="Arial"/>
                <w:sz w:val="22"/>
              </w:rPr>
            </w:r>
            <w:r/>
          </w:p>
        </w:tc>
      </w:tr>
      <w:tr>
        <w:trPr>
          <w:cantSplit/>
          <w:trHeight w:val="480"/>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5</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b/>
                <w:bCs/>
                <w:sz w:val="22"/>
              </w:rPr>
            </w:pPr>
            <w:r>
              <w:rPr>
                <w:rFonts w:hint="eastAsia" w:ascii="宋体" w:hAnsi="宋体"/>
                <w:bCs/>
                <w:sz w:val="22"/>
              </w:rPr>
              <w:t xml:space="preserve">现场审计计费标准为：基本费加上核减额的6%。</w:t>
            </w:r>
            <w:r>
              <w:rPr>
                <w:rFonts w:ascii="宋体" w:hAnsi="宋体" w:cs="Arial"/>
                <w:b/>
                <w:bCs/>
                <w:sz w:val="22"/>
              </w:rPr>
            </w:r>
            <w:r/>
          </w:p>
        </w:tc>
        <w:tc>
          <w:tcPr>
            <w:tcW w:w="624"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1068"/>
              <w:spacing w:line="400" w:lineRule="exact"/>
              <w:widowControl/>
              <w:rPr>
                <w:rFonts w:ascii="宋体" w:hAnsi="宋体" w:cs="Arial"/>
                <w:sz w:val="22"/>
              </w:rPr>
            </w:pPr>
            <w:r>
              <w:rPr>
                <w:rFonts w:hint="eastAsia" w:ascii="宋体" w:hAnsi="宋体"/>
                <w:bCs/>
                <w:sz w:val="22"/>
              </w:rPr>
              <w:t xml:space="preserve">现场审计计费标准为：基本费加上核减额的</w:t>
            </w:r>
            <w:r>
              <w:rPr>
                <w:rFonts w:ascii="宋体" w:hAnsi="宋体"/>
                <w:bCs/>
                <w:sz w:val="22"/>
                <w:u w:val="single"/>
              </w:rPr>
              <w:t xml:space="preserve">      </w:t>
            </w:r>
            <w:r>
              <w:rPr>
                <w:rFonts w:hint="eastAsia" w:ascii="宋体" w:hAnsi="宋体"/>
                <w:bCs/>
                <w:sz w:val="22"/>
              </w:rPr>
              <w:t xml:space="preserve">%</w:t>
            </w:r>
            <w:r>
              <w:rPr>
                <w:rFonts w:ascii="宋体" w:hAnsi="宋体" w:cs="Arial"/>
                <w:sz w:val="22"/>
              </w:rPr>
            </w:r>
            <w:r/>
          </w:p>
        </w:tc>
      </w:tr>
      <w:tr>
        <w:trPr>
          <w:cantSplit/>
          <w:trHeight w:val="480"/>
        </w:trPr>
        <w:tc>
          <w:tcPr>
            <w:tcW w:w="287" w:type="pct"/>
            <w:vAlign w:val="center"/>
            <w:textDirection w:val="lrTb"/>
            <w:noWrap w:val="false"/>
          </w:tcPr>
          <w:p>
            <w:pPr>
              <w:pStyle w:val="1068"/>
              <w:jc w:val="center"/>
              <w:spacing w:line="400" w:lineRule="exact"/>
              <w:widowControl/>
              <w:rPr>
                <w:rFonts w:ascii="宋体" w:hAnsi="宋体" w:cs="Arial"/>
                <w:sz w:val="22"/>
              </w:rPr>
            </w:pPr>
            <w:r>
              <w:rPr>
                <w:rFonts w:hint="eastAsia" w:ascii="宋体" w:hAnsi="宋体" w:cs="Arial"/>
                <w:sz w:val="22"/>
              </w:rPr>
              <w:t xml:space="preserve">6</w:t>
            </w:r>
            <w:r>
              <w:rPr>
                <w:rFonts w:ascii="宋体" w:hAnsi="宋体" w:cs="Arial"/>
                <w:sz w:val="22"/>
              </w:rPr>
            </w:r>
            <w:r/>
          </w:p>
        </w:tc>
        <w:tc>
          <w:tcPr>
            <w:tcW w:w="1513" w:type="pct"/>
            <w:vAlign w:val="center"/>
            <w:textDirection w:val="lrTb"/>
            <w:noWrap w:val="false"/>
          </w:tcPr>
          <w:p>
            <w:pPr>
              <w:pStyle w:val="1068"/>
              <w:jc w:val="center"/>
              <w:spacing w:line="400" w:lineRule="exact"/>
              <w:widowControl/>
              <w:rPr>
                <w:rFonts w:ascii="宋体" w:hAnsi="宋体" w:cs="Arial"/>
                <w:b/>
                <w:bCs/>
                <w:sz w:val="22"/>
              </w:rPr>
            </w:pPr>
            <w:r>
              <w:rPr>
                <w:rFonts w:hint="eastAsia" w:ascii="宋体" w:hAnsi="宋体"/>
                <w:bCs/>
                <w:sz w:val="22"/>
              </w:rPr>
              <w:t xml:space="preserve">现场复核计费标准为：基本费加上核减额的6%。</w:t>
            </w:r>
            <w:r>
              <w:rPr>
                <w:rFonts w:ascii="宋体" w:hAnsi="宋体" w:cs="Arial"/>
                <w:b/>
                <w:bCs/>
                <w:sz w:val="22"/>
              </w:rPr>
            </w:r>
            <w:r/>
          </w:p>
        </w:tc>
        <w:tc>
          <w:tcPr>
            <w:tcW w:w="624"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673" w:type="pct"/>
            <w:vAlign w:val="center"/>
            <w:vMerge w:val="continue"/>
            <w:textDirection w:val="lrTb"/>
            <w:noWrap w:val="false"/>
          </w:tcPr>
          <w:p>
            <w:pPr>
              <w:pStyle w:val="1068"/>
              <w:jc w:val="center"/>
              <w:spacing w:line="400" w:lineRule="exact"/>
              <w:widowControl/>
              <w:rPr>
                <w:rFonts w:ascii="宋体" w:hAnsi="宋体" w:cs="Arial"/>
                <w:sz w:val="22"/>
              </w:rPr>
            </w:pPr>
            <w:r>
              <w:rPr>
                <w:rFonts w:ascii="宋体" w:hAnsi="宋体" w:cs="Arial"/>
                <w:sz w:val="22"/>
              </w:rPr>
            </w:r>
            <w:r/>
          </w:p>
        </w:tc>
        <w:tc>
          <w:tcPr>
            <w:tcW w:w="1903" w:type="pct"/>
            <w:vAlign w:val="center"/>
            <w:textDirection w:val="lrTb"/>
            <w:noWrap w:val="false"/>
          </w:tcPr>
          <w:p>
            <w:pPr>
              <w:pStyle w:val="1068"/>
              <w:spacing w:line="400" w:lineRule="exact"/>
              <w:widowControl/>
              <w:rPr>
                <w:rFonts w:ascii="宋体" w:hAnsi="宋体" w:cs="Arial"/>
                <w:sz w:val="22"/>
              </w:rPr>
            </w:pPr>
            <w:r>
              <w:rPr>
                <w:rFonts w:hint="eastAsia" w:ascii="宋体" w:hAnsi="宋体"/>
                <w:bCs/>
                <w:sz w:val="22"/>
              </w:rPr>
              <w:t xml:space="preserve">现场复核计费标准为：基本费加上核减额的</w:t>
            </w:r>
            <w:r>
              <w:rPr>
                <w:rFonts w:ascii="宋体" w:hAnsi="宋体"/>
                <w:bCs/>
                <w:sz w:val="22"/>
                <w:u w:val="single"/>
              </w:rPr>
              <w:t xml:space="preserve">      </w:t>
            </w:r>
            <w:r>
              <w:rPr>
                <w:rFonts w:hint="eastAsia" w:ascii="宋体" w:hAnsi="宋体"/>
                <w:bCs/>
                <w:sz w:val="22"/>
              </w:rPr>
              <w:t xml:space="preserve">%</w:t>
            </w:r>
            <w:r>
              <w:rPr>
                <w:rFonts w:ascii="宋体" w:hAnsi="宋体" w:cs="Arial"/>
                <w:sz w:val="22"/>
              </w:rPr>
            </w:r>
            <w:r/>
          </w:p>
        </w:tc>
      </w:tr>
      <w:tr>
        <w:trPr>
          <w:trHeight w:val="480"/>
        </w:trPr>
        <w:tc>
          <w:tcPr>
            <w:gridSpan w:val="5"/>
            <w:tcW w:w="5000" w:type="pct"/>
            <w:vAlign w:val="center"/>
            <w:textDirection w:val="lrTb"/>
            <w:noWrap w:val="false"/>
          </w:tcPr>
          <w:p>
            <w:pPr>
              <w:pStyle w:val="1068"/>
              <w:spacing w:line="400" w:lineRule="exact"/>
              <w:widowControl/>
              <w:rPr>
                <w:rFonts w:hint="eastAsia" w:ascii="宋体" w:hAnsi="宋体"/>
                <w:bCs/>
                <w:sz w:val="22"/>
              </w:rPr>
            </w:pPr>
            <w:r>
              <w:rPr>
                <w:rFonts w:hint="eastAsia"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hint="eastAsia" w:ascii="宋体" w:hAnsi="宋体"/>
                <w:sz w:val="24"/>
              </w:rPr>
              <w:t xml:space="preserve">%。</w:t>
            </w:r>
            <w:r>
              <w:rPr>
                <w:rFonts w:hint="eastAsia" w:ascii="宋体" w:hAnsi="宋体"/>
                <w:bCs/>
                <w:sz w:val="22"/>
              </w:rPr>
            </w:r>
            <w:r/>
          </w:p>
        </w:tc>
      </w:tr>
    </w:tbl>
    <w:p>
      <w:pPr>
        <w:pStyle w:val="1068"/>
        <w:jc w:val="left"/>
        <w:tabs>
          <w:tab w:val="left" w:pos="1800" w:leader="none"/>
          <w:tab w:val="left" w:pos="5580" w:leader="none"/>
        </w:tabs>
        <w:rPr>
          <w:rFonts w:ascii="宋体" w:hAnsi="宋体"/>
          <w:sz w:val="24"/>
        </w:rPr>
      </w:pPr>
      <w:r>
        <w:rPr>
          <w:rFonts w:ascii="宋体" w:hAnsi="宋体"/>
          <w:sz w:val="24"/>
        </w:rPr>
      </w:r>
      <w:r/>
    </w:p>
    <w:p>
      <w:pPr>
        <w:pStyle w:val="1068"/>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pStyle w:val="1068"/>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hint="eastAsia"/>
          <w:b/>
          <w:bCs/>
          <w:sz w:val="24"/>
        </w:rPr>
        <w:t xml:space="preserve">本次招标采用固定优惠率报价形式（小数点后保留一位），最终结算金额不得超过本项目年度最高限额。报价公式为：最终报价=标准收费（标准收费率）×</w:t>
      </w:r>
      <w:r>
        <w:rPr>
          <w:rFonts w:hint="eastAsia" w:ascii="宋体" w:hAnsi="宋体" w:cs="宋体"/>
          <w:b/>
          <w:bCs/>
          <w:sz w:val="24"/>
        </w:rPr>
        <w:t xml:space="preserve">标准收费（标准收费率）×（1-优惠率）</w:t>
      </w:r>
      <w:r>
        <w:rPr>
          <w:rFonts w:hint="eastAsia"/>
          <w:b/>
          <w:bCs/>
          <w:sz w:val="24"/>
        </w:rPr>
        <w:t xml:space="preserve">，优惠率为统一优惠率，不按要求报价按无效投标处理。</w:t>
      </w:r>
      <w:r>
        <w:rPr>
          <w:rFonts w:hint="eastAsia" w:ascii="宋体" w:hAnsi="宋体"/>
          <w:sz w:val="24"/>
        </w:rPr>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2.</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1068"/>
        <w:jc w:val="left"/>
        <w:tabs>
          <w:tab w:val="left" w:pos="1800" w:leader="none"/>
          <w:tab w:val="left" w:pos="5580" w:leader="none"/>
        </w:tabs>
        <w:rPr>
          <w:rFonts w:hint="eastAsia" w:ascii="宋体" w:hAnsi="宋体"/>
          <w:sz w:val="24"/>
        </w:rPr>
      </w:pPr>
      <w:r>
        <w:rPr>
          <w:rFonts w:hint="eastAsia" w:ascii="宋体" w:hAnsi="宋体"/>
          <w:sz w:val="24"/>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ascii="宋体" w:hAnsi="宋体"/>
          <w:b/>
          <w:sz w:val="24"/>
        </w:rPr>
        <w:t xml:space="preserve">（实质性格式）</w:t>
      </w:r>
      <w:r>
        <w:rPr>
          <w:rFonts w:ascii="宋体" w:hAnsi="宋体"/>
          <w:b/>
          <w:sz w:val="24"/>
          <w:szCs w:val="20"/>
        </w:rPr>
      </w:r>
      <w:r/>
    </w:p>
    <w:p>
      <w:pPr>
        <w:pStyle w:val="1068"/>
        <w:spacing w:line="360" w:lineRule="auto"/>
        <w:rPr>
          <w:rFonts w:ascii="宋体" w:hAnsi="宋体"/>
          <w:sz w:val="24"/>
          <w:szCs w:val="20"/>
        </w:rPr>
      </w:pPr>
      <w:r>
        <w:rPr>
          <w:rFonts w:ascii="宋体" w:hAnsi="宋体"/>
          <w:sz w:val="24"/>
          <w:szCs w:val="20"/>
        </w:rPr>
      </w:r>
      <w:r/>
    </w:p>
    <w:p>
      <w:pPr>
        <w:pStyle w:val="106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68"/>
        <w:spacing w:line="360" w:lineRule="auto"/>
        <w:rPr>
          <w:rFonts w:ascii="宋体" w:hAnsi="宋体"/>
          <w:sz w:val="24"/>
          <w:szCs w:val="20"/>
        </w:rPr>
      </w:pPr>
      <w:r>
        <w:rPr>
          <w:rFonts w:ascii="宋体" w:hAnsi="宋体"/>
          <w:sz w:val="24"/>
          <w:szCs w:val="20"/>
        </w:rPr>
      </w:r>
      <w:r/>
    </w:p>
    <w:p>
      <w:pPr>
        <w:pStyle w:val="106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6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6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6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6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6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6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bl>
    <w:p>
      <w:pPr>
        <w:pStyle w:val="1068"/>
        <w:jc w:val="left"/>
        <w:tabs>
          <w:tab w:val="left" w:pos="1800" w:leader="none"/>
          <w:tab w:val="left" w:pos="5580" w:leader="none"/>
        </w:tabs>
        <w:rPr>
          <w:rFonts w:ascii="宋体" w:hAnsi="宋体"/>
          <w:sz w:val="24"/>
        </w:rPr>
      </w:pP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t xml:space="preserve">注：</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8"/>
        <w:spacing w:line="360" w:lineRule="auto"/>
        <w:rPr>
          <w:rFonts w:ascii="宋体" w:hAnsi="宋体"/>
          <w:sz w:val="24"/>
          <w:szCs w:val="20"/>
        </w:rPr>
      </w:pPr>
      <w:r>
        <w:rPr>
          <w:rFonts w:ascii="宋体" w:hAnsi="宋体"/>
          <w:sz w:val="24"/>
          <w:szCs w:val="20"/>
        </w:rPr>
      </w:r>
      <w:r/>
    </w:p>
    <w:p>
      <w:pPr>
        <w:pStyle w:val="1068"/>
        <w:spacing w:before="25" w:after="25" w:line="360" w:lineRule="auto"/>
        <w:rPr>
          <w:rFonts w:ascii="宋体" w:hAnsi="宋体"/>
          <w:sz w:val="24"/>
          <w:lang w:val="zh-CN"/>
        </w:rPr>
      </w:pPr>
      <w:r>
        <w:rPr>
          <w:rFonts w:ascii="宋体" w:hAnsi="宋体"/>
          <w:sz w:val="24"/>
          <w:lang w:val="zh-CN"/>
        </w:rPr>
        <w:t xml:space="preserve">                      </w:t>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ascii="宋体" w:hAnsi="宋体"/>
          <w:b/>
          <w:sz w:val="24"/>
          <w:szCs w:val="20"/>
        </w:rPr>
        <w:t xml:space="preserve">采购需求偏离表（实质性格式）</w:t>
      </w:r>
      <w:r/>
    </w:p>
    <w:p>
      <w:pPr>
        <w:pStyle w:val="1068"/>
        <w:jc w:val="center"/>
        <w:spacing w:line="360" w:lineRule="auto"/>
        <w:rPr>
          <w:rFonts w:hint="eastAsia" w:ascii="宋体" w:hAnsi="宋体"/>
          <w:b/>
          <w:sz w:val="36"/>
          <w:szCs w:val="36"/>
        </w:rPr>
      </w:pPr>
      <w:r>
        <w:rPr>
          <w:rFonts w:hint="eastAsia" w:ascii="宋体" w:hAnsi="宋体"/>
          <w:b/>
          <w:sz w:val="36"/>
          <w:szCs w:val="36"/>
        </w:rPr>
      </w:r>
      <w:r/>
    </w:p>
    <w:p>
      <w:pPr>
        <w:pStyle w:val="106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6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68"/>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6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8"/>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6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6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6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6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6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6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bl>
    <w:p>
      <w:pPr>
        <w:pStyle w:val="106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68"/>
        <w:jc w:val="left"/>
        <w:tabs>
          <w:tab w:val="left" w:pos="1800" w:leader="none"/>
          <w:tab w:val="left" w:pos="5580" w:leader="none"/>
        </w:tabs>
        <w:rPr>
          <w:rFonts w:ascii="宋体" w:hAnsi="宋体"/>
          <w:sz w:val="24"/>
        </w:rPr>
      </w:pPr>
      <w:r>
        <w:rPr>
          <w:rFonts w:ascii="宋体" w:hAnsi="宋体"/>
          <w:sz w:val="24"/>
        </w:rPr>
        <w:t xml:space="preserve">注：</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r>
      <w:r/>
    </w:p>
    <w:p>
      <w:pPr>
        <w:pStyle w:val="1068"/>
        <w:rPr>
          <w:rFonts w:ascii="宋体" w:hAnsi="宋体"/>
          <w:sz w:val="24"/>
          <w:szCs w:val="20"/>
        </w:rPr>
      </w:pPr>
      <w:r>
        <w:rPr>
          <w:rFonts w:ascii="宋体" w:hAnsi="宋体"/>
          <w:sz w:val="24"/>
          <w:szCs w:val="20"/>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3"/>
          <w:rFonts w:hint="eastAsia" w:ascii="方正魏碑_GBK" w:hAnsi="方正魏碑_GBK" w:eastAsia="方正魏碑_GBK" w:cs="方正魏碑_GBK"/>
          <w:color w:val="000000"/>
          <w:u w:val="single"/>
          <w:shd w:val="clear" w:color="auto" w:fill="ffffff"/>
        </w:rPr>
        <w:t xml:space="preserve">（产品名称1）</w:t>
      </w:r>
      <w:r>
        <w:rPr>
          <w:rStyle w:val="114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3"/>
          <w:rFonts w:hint="eastAsia" w:ascii="方正魏碑_GBK" w:hAnsi="方正魏碑_GBK" w:eastAsia="方正魏碑_GBK" w:cs="方正魏碑_GBK"/>
          <w:color w:val="000000"/>
          <w:u w:val="single"/>
          <w:shd w:val="clear" w:color="auto" w:fill="ffffff"/>
        </w:rPr>
        <w:t xml:space="preserve">（厂名）</w:t>
      </w:r>
      <w:r>
        <w:rPr>
          <w:rStyle w:val="114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3"/>
          <w:rFonts w:hint="eastAsia" w:ascii="方正魏碑_GBK" w:hAnsi="方正魏碑_GBK" w:eastAsia="方正魏碑_GBK" w:cs="方正魏碑_GBK"/>
          <w:color w:val="000000"/>
          <w:u w:val="single"/>
          <w:shd w:val="clear" w:color="auto" w:fill="ffffff"/>
        </w:rPr>
        <w:t xml:space="preserve">（规定</w:t>
      </w:r>
      <w:r>
        <w:rPr>
          <w:rStyle w:val="1143"/>
          <w:rFonts w:ascii="方正魏碑_GBK" w:hAnsi="方正魏碑_GBK" w:eastAsia="方正魏碑_GBK" w:cs="方正魏碑_GBK"/>
          <w:color w:val="000000"/>
          <w:u w:val="single"/>
          <w:shd w:val="clear" w:color="auto" w:fill="ffffff"/>
        </w:rPr>
        <w:t xml:space="preserve">比例</w:t>
      </w:r>
      <w:r>
        <w:rPr>
          <w:rStyle w:val="1143"/>
          <w:rFonts w:hint="eastAsia" w:ascii="方正魏碑_GBK" w:hAnsi="方正魏碑_GBK" w:eastAsia="方正魏碑_GBK" w:cs="方正魏碑_GBK"/>
          <w:color w:val="000000"/>
          <w:u w:val="single"/>
          <w:shd w:val="clear" w:color="auto" w:fill="ffffff"/>
        </w:rPr>
        <w:t xml:space="preserve">）</w:t>
      </w:r>
      <w:r>
        <w:rPr>
          <w:rStyle w:val="114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w:t>
      </w:r>
      <w:r>
        <w:rPr>
          <w:rStyle w:val="1143"/>
          <w:rFonts w:ascii="方正魏碑_GBK" w:hAnsi="方正魏碑_GBK" w:eastAsia="方正魏碑_GBK" w:cs="方正魏碑_GBK"/>
          <w:color w:val="000000"/>
          <w:u w:val="single"/>
          <w:shd w:val="clear" w:color="auto" w:fill="ffffff"/>
        </w:rPr>
        <w:t xml:space="preserve">组件</w:t>
      </w:r>
      <w:r>
        <w:rPr>
          <w:rStyle w:val="1143"/>
          <w:rFonts w:hint="eastAsia" w:ascii="方正魏碑_GBK" w:hAnsi="方正魏碑_GBK" w:eastAsia="方正魏碑_GBK" w:cs="方正魏碑_GBK"/>
          <w:color w:val="000000"/>
          <w:u w:val="single"/>
          <w:shd w:val="clear" w:color="auto" w:fill="ffffff"/>
        </w:rPr>
        <w:t xml:space="preserve">）</w:t>
      </w:r>
      <w:r>
        <w:rPr>
          <w:rStyle w:val="114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（关键工序）</w:t>
      </w:r>
      <w:r>
        <w:rPr>
          <w:rStyle w:val="114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3"/>
          <w:rFonts w:hint="eastAsia" w:ascii="方正魏碑_GBK" w:hAnsi="方正魏碑_GBK" w:eastAsia="方正魏碑_GBK" w:cs="方正魏碑_GBK"/>
          <w:color w:val="000000"/>
          <w:u w:val="single"/>
          <w:shd w:val="clear" w:color="auto" w:fill="ffffff"/>
        </w:rPr>
        <w:t xml:space="preserve">（规定</w:t>
      </w:r>
      <w:r>
        <w:rPr>
          <w:rStyle w:val="1143"/>
          <w:rFonts w:ascii="方正魏碑_GBK" w:hAnsi="方正魏碑_GBK" w:eastAsia="方正魏碑_GBK" w:cs="方正魏碑_GBK"/>
          <w:color w:val="000000"/>
          <w:u w:val="single"/>
          <w:shd w:val="clear" w:color="auto" w:fill="ffffff"/>
        </w:rPr>
        <w:t xml:space="preserve">比例</w:t>
      </w:r>
      <w:r>
        <w:rPr>
          <w:rStyle w:val="114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w:t>
      </w:r>
      <w:r>
        <w:rPr>
          <w:rStyle w:val="1143"/>
          <w:rFonts w:ascii="方正魏碑_GBK" w:hAnsi="方正魏碑_GBK" w:eastAsia="方正魏碑_GBK" w:cs="方正魏碑_GBK"/>
          <w:color w:val="000000"/>
          <w:u w:val="single"/>
          <w:shd w:val="clear" w:color="auto" w:fill="ffffff"/>
        </w:rPr>
        <w:t xml:space="preserve">组件</w:t>
      </w:r>
      <w:r>
        <w:rPr>
          <w:rStyle w:val="114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68"/>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0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6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68"/>
        <w:ind w:firstLine="480"/>
        <w:spacing w:line="560" w:lineRule="exact"/>
        <w:rPr>
          <w:rFonts w:hint="eastAsia" w:ascii="宋体" w:hAnsi="宋体"/>
          <w:sz w:val="24"/>
          <w:szCs w:val="20"/>
        </w:rPr>
      </w:pPr>
      <w:r>
        <w:rPr>
          <w:rFonts w:hint="eastAsia" w:ascii="宋体" w:hAnsi="宋体"/>
          <w:sz w:val="24"/>
          <w:szCs w:val="20"/>
        </w:rPr>
      </w:r>
      <w:r/>
    </w:p>
    <w:p>
      <w:pPr>
        <w:pStyle w:val="106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1068"/>
        <w:jc w:val="center"/>
        <w:spacing w:line="360" w:lineRule="auto"/>
        <w:rPr>
          <w:rFonts w:hint="eastAsia" w:ascii="宋体" w:hAnsi="宋体"/>
          <w:b/>
          <w:sz w:val="32"/>
          <w:szCs w:val="32"/>
        </w:rPr>
      </w:pPr>
      <w:r>
        <w:rPr>
          <w:rFonts w:hint="eastAsia" w:ascii="宋体" w:hAnsi="宋体"/>
          <w:b/>
          <w:sz w:val="32"/>
          <w:szCs w:val="32"/>
        </w:rPr>
      </w:r>
      <w:r/>
    </w:p>
    <w:p>
      <w:pPr>
        <w:pStyle w:val="106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8"/>
        <w:spacing w:line="360" w:lineRule="auto"/>
        <w:rPr>
          <w:rFonts w:ascii="宋体" w:hAnsi="宋体"/>
          <w:sz w:val="22"/>
        </w:rPr>
      </w:pPr>
      <w:r>
        <w:rPr>
          <w:rFonts w:ascii="宋体" w:hAnsi="宋体"/>
          <w:sz w:val="22"/>
        </w:rPr>
      </w:r>
      <w:r/>
    </w:p>
    <w:p>
      <w:pPr>
        <w:pStyle w:val="106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963"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749"/>
        <w:gridCol w:w="1276"/>
        <w:gridCol w:w="992"/>
        <w:gridCol w:w="1276"/>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8"/>
        <w:tabs>
          <w:tab w:val="left" w:pos="9765" w:leader="none"/>
        </w:tabs>
        <w:rPr>
          <w:rFonts w:ascii="宋体" w:hAnsi="宋体" w:cs="宋体"/>
          <w:b/>
          <w:sz w:val="24"/>
          <w:lang w:val="zh-CN"/>
        </w:rPr>
      </w:pPr>
      <w:r>
        <w:rPr>
          <w:rFonts w:ascii="宋体" w:hAnsi="宋体" w:cs="宋体"/>
          <w:b/>
          <w:sz w:val="24"/>
          <w:lang w:val="zh-CN"/>
        </w:rPr>
      </w:r>
      <w:r/>
    </w:p>
    <w:p>
      <w:pPr>
        <w:pStyle w:val="106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68"/>
        <w:spacing w:line="360" w:lineRule="auto"/>
        <w:rPr>
          <w:rFonts w:ascii="宋体" w:hAnsi="宋体"/>
          <w:sz w:val="24"/>
        </w:rPr>
      </w:pPr>
      <w:r>
        <w:rPr>
          <w:rFonts w:ascii="宋体" w:hAnsi="宋体"/>
          <w:sz w:val="24"/>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2"/>
        </w:rPr>
        <w:br w:type="page" w:clear="all"/>
      </w:r>
      <w:bookmarkStart w:id="913" w:name="_Toc288738397"/>
      <w:r/>
      <w:bookmarkStart w:id="914" w:name="_Toc288738839"/>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1068"/>
        <w:rPr>
          <w:rFonts w:ascii="宋体" w:hAnsi="宋体"/>
          <w:sz w:val="24"/>
          <w:szCs w:val="20"/>
        </w:rPr>
      </w:pPr>
      <w:r>
        <w:rPr>
          <w:rFonts w:ascii="宋体" w:hAnsi="宋体"/>
          <w:sz w:val="24"/>
          <w:szCs w:val="20"/>
        </w:rPr>
      </w:r>
      <w:r/>
    </w:p>
    <w:p>
      <w:pPr>
        <w:pStyle w:val="1068"/>
        <w:jc w:val="center"/>
        <w:rPr>
          <w:rFonts w:ascii="宋体" w:hAnsi="宋体"/>
          <w:b/>
          <w:sz w:val="32"/>
          <w:szCs w:val="32"/>
        </w:rPr>
      </w:pPr>
      <w:r>
        <w:rPr>
          <w:rFonts w:hint="eastAsia" w:ascii="宋体" w:hAnsi="宋体"/>
          <w:b/>
          <w:sz w:val="32"/>
          <w:szCs w:val="32"/>
        </w:rPr>
        <w:t xml:space="preserve">相关业绩案例一览表</w:t>
      </w:r>
      <w:bookmarkEnd w:id="913"/>
      <w:r/>
      <w:bookmarkEnd w:id="914"/>
      <w:r>
        <w:rPr>
          <w:rFonts w:ascii="宋体" w:hAnsi="宋体"/>
          <w:b/>
          <w:sz w:val="32"/>
          <w:szCs w:val="32"/>
        </w:rPr>
      </w:r>
      <w:r/>
    </w:p>
    <w:p>
      <w:pPr>
        <w:pStyle w:val="1068"/>
        <w:jc w:val="center"/>
        <w:spacing w:line="360" w:lineRule="auto"/>
        <w:rPr>
          <w:rFonts w:ascii="宋体" w:hAnsi="宋体"/>
          <w:b/>
          <w:sz w:val="28"/>
          <w:szCs w:val="30"/>
        </w:rPr>
      </w:pPr>
      <w:r>
        <w:rPr>
          <w:rFonts w:ascii="宋体" w:hAnsi="宋体"/>
          <w:b/>
          <w:sz w:val="28"/>
          <w:szCs w:val="30"/>
        </w:rPr>
      </w:r>
      <w:r/>
    </w:p>
    <w:p>
      <w:pPr>
        <w:pStyle w:val="106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bl>
    <w:p>
      <w:pPr>
        <w:pStyle w:val="1068"/>
        <w:tabs>
          <w:tab w:val="left" w:pos="9765" w:leader="none"/>
        </w:tabs>
        <w:rPr>
          <w:rFonts w:ascii="宋体" w:hAnsi="宋体" w:cs="宋体"/>
          <w:sz w:val="24"/>
          <w:lang w:val="zh-CN"/>
        </w:rPr>
      </w:pPr>
      <w:r>
        <w:rPr>
          <w:rFonts w:ascii="宋体" w:hAnsi="宋体" w:cs="宋体"/>
          <w:sz w:val="24"/>
          <w:lang w:val="zh-CN"/>
        </w:rPr>
      </w:r>
      <w:r/>
    </w:p>
    <w:p>
      <w:pPr>
        <w:pStyle w:val="1068"/>
        <w:spacing w:line="360" w:lineRule="auto"/>
        <w:rPr>
          <w:rFonts w:ascii="宋体" w:hAnsi="宋体" w:cs="宋体"/>
          <w:sz w:val="24"/>
        </w:rPr>
      </w:pPr>
      <w:r>
        <w:rPr>
          <w:rFonts w:ascii="宋体" w:hAnsi="宋体" w:cs="宋体"/>
          <w:sz w:val="24"/>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rPr>
        <w:outlineLvl w:val="2"/>
      </w:pPr>
      <w:r>
        <w:rPr>
          <w:rFonts w:ascii="宋体" w:hAnsi="宋体"/>
        </w:rPr>
      </w:r>
      <w:r/>
    </w:p>
    <w:p>
      <w:pPr>
        <w:pStyle w:val="1068"/>
        <w:spacing w:line="360" w:lineRule="auto"/>
        <w:rPr>
          <w:rFonts w:ascii="宋体" w:hAnsi="宋体"/>
        </w:rPr>
        <w:outlineLvl w:val="2"/>
      </w:pPr>
      <w:r>
        <w:rPr>
          <w:rFonts w:ascii="宋体" w:hAnsi="宋体"/>
        </w:rPr>
      </w:r>
      <w:r/>
    </w:p>
    <w:p>
      <w:pPr>
        <w:pStyle w:val="1068"/>
        <w:spacing w:line="360" w:lineRule="auto"/>
        <w:rPr>
          <w:rFonts w:ascii="宋体" w:hAnsi="宋体"/>
          <w:b/>
          <w:sz w:val="24"/>
        </w:rPr>
        <w:outlineLvl w:val="2"/>
      </w:pPr>
      <w:r>
        <w:rPr>
          <w:rFonts w:ascii="宋体" w:hAnsi="宋体"/>
          <w:b/>
          <w:sz w:val="24"/>
        </w:rPr>
        <w:t xml:space="preserve">13  招标文件要求提供或投标人认为应附的其他材料</w:t>
      </w:r>
      <w:r/>
    </w:p>
    <w:p>
      <w:pPr>
        <w:pStyle w:val="1068"/>
        <w:jc w:val="left"/>
        <w:widowControl/>
        <w:rPr>
          <w:rFonts w:ascii="宋体" w:hAnsi="宋体"/>
          <w:b/>
          <w:sz w:val="36"/>
          <w:szCs w:val="36"/>
        </w:rPr>
      </w:pPr>
      <w:r>
        <w:rPr>
          <w:rFonts w:ascii="宋体" w:hAnsi="宋体"/>
          <w:b/>
          <w:sz w:val="36"/>
          <w:szCs w:val="36"/>
        </w:rPr>
      </w:r>
      <w:r/>
    </w:p>
    <w:p>
      <w:pPr>
        <w:pStyle w:val="1068"/>
        <w:jc w:val="left"/>
        <w:widowControl/>
        <w:rPr>
          <w:rFonts w:ascii="宋体" w:hAnsi="宋体"/>
          <w:b/>
          <w:sz w:val="36"/>
          <w:szCs w:val="36"/>
        </w:rPr>
      </w:pPr>
      <w:r>
        <w:rPr>
          <w:rFonts w:ascii="宋体" w:hAnsi="宋体"/>
          <w:b/>
          <w:sz w:val="36"/>
          <w:szCs w:val="36"/>
        </w:rPr>
      </w:r>
      <w:r/>
    </w:p>
    <w:p>
      <w:pPr>
        <w:pStyle w:val="1068"/>
        <w:jc w:val="left"/>
        <w:widowControl/>
        <w:rPr>
          <w:rFonts w:ascii="宋体" w:hAnsi="宋体"/>
          <w:b/>
          <w:sz w:val="36"/>
          <w:szCs w:val="36"/>
        </w:rPr>
      </w:pPr>
      <w:r>
        <w:rPr>
          <w:rFonts w:ascii="宋体" w:hAnsi="宋体"/>
          <w:b/>
          <w:sz w:val="36"/>
          <w:szCs w:val="36"/>
        </w:rPr>
      </w:r>
      <w:r/>
    </w:p>
    <w:p>
      <w:pPr>
        <w:pStyle w:val="1068"/>
        <w:jc w:val="left"/>
        <w:widowControl/>
        <w:rPr>
          <w:rFonts w:ascii="宋体" w:hAnsi="宋体"/>
          <w:b/>
          <w:sz w:val="36"/>
          <w:szCs w:val="36"/>
        </w:rPr>
      </w:pPr>
      <w:r>
        <w:rPr>
          <w:rFonts w:ascii="宋体" w:hAnsi="宋体"/>
          <w:b/>
          <w:sz w:val="36"/>
          <w:szCs w:val="36"/>
        </w:rPr>
      </w:r>
      <w:r/>
    </w:p>
    <w:p>
      <w:pPr>
        <w:pStyle w:val="1068"/>
        <w:jc w:val="left"/>
        <w:widowControl/>
        <w:rPr>
          <w:rFonts w:hint="eastAsia" w:ascii="宋体" w:hAnsi="宋体"/>
          <w:b/>
          <w:sz w:val="36"/>
          <w:szCs w:val="36"/>
        </w:rPr>
      </w:pPr>
      <w:r>
        <w:rPr>
          <w:rFonts w:hint="eastAsia" w:ascii="宋体" w:hAnsi="宋体"/>
          <w:b/>
          <w:sz w:val="36"/>
          <w:szCs w:val="36"/>
        </w:rPr>
      </w:r>
      <w:r/>
    </w:p>
    <w:p>
      <w:pPr>
        <w:pStyle w:val="1068"/>
        <w:rPr>
          <w:rFonts w:ascii="宋体" w:hAnsi="宋体"/>
          <w:sz w:val="36"/>
          <w:szCs w:val="36"/>
        </w:rPr>
      </w:pPr>
      <w:r>
        <w:rPr>
          <w:rFonts w:ascii="宋体" w:hAnsi="宋体"/>
          <w:sz w:val="36"/>
          <w:szCs w:val="36"/>
        </w:rPr>
      </w:r>
      <w:r/>
    </w:p>
    <w:p>
      <w:pPr>
        <w:pStyle w:val="106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68"/>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rPr>
        <w:rStyle w:val="1141"/>
      </w:rPr>
      <w:framePr w:wrap="around" w:vAnchor="text" w:hAnchor="margin" w:y="1"/>
    </w:pPr>
    <w:r>
      <w:rPr>
        <w:rStyle w:val="1141"/>
      </w:rPr>
    </w:r>
    <w:r/>
  </w:p>
  <w:p>
    <w:pPr>
      <w:pStyle w:val="111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r>
    <w:r/>
  </w:p>
  <w:p>
    <w:pPr>
      <w:pStyle w:val="11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7"/>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2"/>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2"/>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1"/>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7"/>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8"/>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1"/>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9"/>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6"/>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7"/>
      <w:isLgl w:val="false"/>
      <w:suff w:val="tab"/>
      <w:lvlText w:val="%1"/>
      <w:lvlJc w:val="left"/>
      <w:pPr>
        <w:pStyle w:val="1068"/>
        <w:ind w:left="680" w:hanging="680"/>
      </w:pPr>
      <w:rPr>
        <w:rFonts w:hint="eastAsia" w:ascii="宋体" w:hAnsi="宋体" w:eastAsia="宋体"/>
      </w:rPr>
    </w:lvl>
    <w:lvl w:ilvl="1">
      <w:start w:val="1"/>
      <w:numFmt w:val="decimal"/>
      <w:pStyle w:val="1278"/>
      <w:isLgl w:val="false"/>
      <w:suff w:val="tab"/>
      <w:lvlText w:val="%1.%2"/>
      <w:lvlJc w:val="left"/>
      <w:pPr>
        <w:pStyle w:val="1068"/>
        <w:ind w:left="851" w:hanging="851"/>
      </w:pPr>
      <w:rPr>
        <w:rFonts w:hint="eastAsia" w:ascii="宋体" w:hAnsi="宋体" w:eastAsia="宋体"/>
        <w:color w:val="000000"/>
      </w:rPr>
    </w:lvl>
    <w:lvl w:ilvl="2">
      <w:start w:val="1"/>
      <w:numFmt w:val="decimal"/>
      <w:pStyle w:val="1279"/>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68"/>
    <w:link w:val="1068"/>
    <w:qFormat/>
    <w:pPr>
      <w:jc w:val="both"/>
      <w:widowControl w:val="off"/>
    </w:pPr>
    <w:rPr>
      <w:sz w:val="21"/>
      <w:szCs w:val="24"/>
      <w:lang w:val="en-US" w:eastAsia="zh-CN" w:bidi="ar-SA"/>
    </w:rPr>
  </w:style>
  <w:style w:type="paragraph" w:styleId="1069">
    <w:name w:val="标题 1"/>
    <w:basedOn w:val="1068"/>
    <w:next w:val="1068"/>
    <w:link w:val="1081"/>
    <w:qFormat/>
    <w:pPr>
      <w:jc w:val="center"/>
      <w:keepLines/>
      <w:keepNext/>
      <w:spacing w:before="240" w:after="120" w:line="300" w:lineRule="auto"/>
      <w:outlineLvl w:val="0"/>
    </w:pPr>
    <w:rPr>
      <w:rFonts w:ascii="宋体"/>
      <w:b/>
      <w:sz w:val="32"/>
      <w:szCs w:val="20"/>
    </w:rPr>
  </w:style>
  <w:style w:type="paragraph" w:styleId="1070">
    <w:name w:val="标题 2"/>
    <w:basedOn w:val="1068"/>
    <w:next w:val="1083"/>
    <w:link w:val="1082"/>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3"/>
    <w:link w:val="1085"/>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6"/>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7"/>
    <w:qFormat/>
    <w:pPr>
      <w:keepLines/>
      <w:keepNext/>
      <w:spacing w:before="280" w:after="290" w:line="376" w:lineRule="atLeast"/>
      <w:outlineLvl w:val="4"/>
    </w:pPr>
    <w:rPr>
      <w:b/>
      <w:sz w:val="28"/>
      <w:szCs w:val="20"/>
    </w:rPr>
  </w:style>
  <w:style w:type="paragraph" w:styleId="1074">
    <w:name w:val="标题 6"/>
    <w:basedOn w:val="1068"/>
    <w:next w:val="1068"/>
    <w:link w:val="1088"/>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89"/>
    <w:qFormat/>
    <w:pPr>
      <w:keepLines/>
      <w:keepNext/>
      <w:spacing w:before="240" w:after="64" w:line="320" w:lineRule="atLeast"/>
      <w:outlineLvl w:val="6"/>
    </w:pPr>
    <w:rPr>
      <w:b/>
      <w:sz w:val="24"/>
      <w:szCs w:val="20"/>
    </w:rPr>
  </w:style>
  <w:style w:type="paragraph" w:styleId="1076">
    <w:name w:val="标题 8"/>
    <w:basedOn w:val="1068"/>
    <w:next w:val="1068"/>
    <w:link w:val="1090"/>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1"/>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tblPr/>
  </w:style>
  <w:style w:type="numbering" w:styleId="1080">
    <w:name w:val="无列表"/>
    <w:next w:val="1080"/>
    <w:link w:val="1068"/>
    <w:uiPriority w:val="99"/>
    <w:semiHidden/>
    <w:unhideWhenUsed/>
  </w:style>
  <w:style w:type="character" w:styleId="1081">
    <w:name w:val="标题 1 字符"/>
    <w:next w:val="1081"/>
    <w:link w:val="1069"/>
    <w:qFormat/>
    <w:rPr>
      <w:rFonts w:ascii="宋体"/>
      <w:b/>
      <w:sz w:val="32"/>
    </w:rPr>
  </w:style>
  <w:style w:type="character" w:styleId="1082">
    <w:name w:val="标题 2 字符"/>
    <w:next w:val="1082"/>
    <w:link w:val="1070"/>
    <w:qFormat/>
    <w:rPr>
      <w:rFonts w:ascii="Arial" w:hAnsi="Arial" w:eastAsia="黑体"/>
      <w:b/>
      <w:sz w:val="30"/>
      <w:lang w:val="en-US" w:eastAsia="zh-CN" w:bidi="ar-SA"/>
    </w:rPr>
  </w:style>
  <w:style w:type="paragraph" w:styleId="1083">
    <w:name w:val="正文缩进"/>
    <w:basedOn w:val="1068"/>
    <w:next w:val="1083"/>
    <w:link w:val="1084"/>
    <w:uiPriority w:val="99"/>
    <w:qFormat/>
    <w:pPr>
      <w:ind w:firstLine="420"/>
      <w:jc w:val="left"/>
    </w:pPr>
    <w:rPr>
      <w:rFonts w:ascii="宋体"/>
      <w:sz w:val="24"/>
    </w:rPr>
  </w:style>
  <w:style w:type="character" w:styleId="1084">
    <w:name w:val="正文缩进 字符1"/>
    <w:next w:val="1084"/>
    <w:link w:val="1083"/>
    <w:qFormat/>
    <w:rPr>
      <w:rFonts w:ascii="宋体" w:eastAsia="宋体"/>
      <w:sz w:val="24"/>
      <w:szCs w:val="24"/>
      <w:lang w:val="en-US" w:eastAsia="zh-CN" w:bidi="ar-SA"/>
    </w:rPr>
  </w:style>
  <w:style w:type="character" w:styleId="1085">
    <w:name w:val="标题 3 字符"/>
    <w:next w:val="1085"/>
    <w:link w:val="1071"/>
    <w:qFormat/>
    <w:rPr>
      <w:rFonts w:ascii="宋体" w:eastAsia="宋体"/>
      <w:b/>
      <w:sz w:val="24"/>
      <w:u w:val="single"/>
      <w:lang w:val="en-US" w:eastAsia="zh-CN" w:bidi="ar-SA"/>
    </w:rPr>
  </w:style>
  <w:style w:type="character" w:styleId="1086">
    <w:name w:val="标题 4 字符"/>
    <w:next w:val="1086"/>
    <w:link w:val="1072"/>
    <w:qFormat/>
    <w:rPr>
      <w:rFonts w:ascii="Arial" w:hAnsi="Arial" w:eastAsia="黑体"/>
      <w:b/>
      <w:sz w:val="28"/>
    </w:rPr>
  </w:style>
  <w:style w:type="character" w:styleId="1087">
    <w:name w:val="标题 5 字符"/>
    <w:next w:val="1087"/>
    <w:link w:val="1073"/>
    <w:qFormat/>
    <w:rPr>
      <w:b/>
      <w:sz w:val="28"/>
    </w:rPr>
  </w:style>
  <w:style w:type="character" w:styleId="1088">
    <w:name w:val="标题 6 字符"/>
    <w:next w:val="1088"/>
    <w:link w:val="1074"/>
    <w:qFormat/>
    <w:rPr>
      <w:rFonts w:ascii="Arial" w:hAnsi="Arial" w:eastAsia="黑体"/>
      <w:b/>
      <w:sz w:val="24"/>
    </w:rPr>
  </w:style>
  <w:style w:type="character" w:styleId="1089">
    <w:name w:val="标题 7 字符"/>
    <w:next w:val="1089"/>
    <w:link w:val="1075"/>
    <w:qFormat/>
    <w:rPr>
      <w:b/>
      <w:sz w:val="24"/>
    </w:rPr>
  </w:style>
  <w:style w:type="character" w:styleId="1090">
    <w:name w:val="标题 8 字符"/>
    <w:next w:val="1090"/>
    <w:link w:val="1076"/>
    <w:qFormat/>
    <w:rPr>
      <w:rFonts w:ascii="Arial" w:hAnsi="Arial" w:eastAsia="黑体"/>
      <w:sz w:val="24"/>
    </w:rPr>
  </w:style>
  <w:style w:type="character" w:styleId="1091">
    <w:name w:val="标题 9 字符"/>
    <w:next w:val="1091"/>
    <w:link w:val="1077"/>
    <w:qFormat/>
    <w:rPr>
      <w:rFonts w:ascii="Arial" w:hAnsi="Arial" w:eastAsia="黑体"/>
      <w:sz w:val="21"/>
    </w:rPr>
  </w:style>
  <w:style w:type="paragraph" w:styleId="1092">
    <w:name w:val="目录 7"/>
    <w:basedOn w:val="1068"/>
    <w:next w:val="1068"/>
    <w:link w:val="1068"/>
    <w:qFormat/>
    <w:pPr>
      <w:ind w:left="2520"/>
    </w:pPr>
  </w:style>
  <w:style w:type="paragraph" w:styleId="1093">
    <w:name w:val="题注"/>
    <w:basedOn w:val="1068"/>
    <w:next w:val="1068"/>
    <w:link w:val="1068"/>
    <w:qFormat/>
    <w:pPr>
      <w:spacing w:line="480" w:lineRule="auto"/>
    </w:pPr>
    <w:rPr>
      <w:rFonts w:ascii="华文中宋" w:hAnsi="华文中宋" w:eastAsia="华文中宋"/>
      <w:sz w:val="36"/>
      <w:szCs w:val="20"/>
    </w:rPr>
  </w:style>
  <w:style w:type="paragraph" w:styleId="1094">
    <w:name w:val="文档结构图"/>
    <w:basedOn w:val="1068"/>
    <w:next w:val="1094"/>
    <w:link w:val="1095"/>
    <w:qFormat/>
    <w:pPr>
      <w:shd w:val="clear" w:color="auto" w:fill="000080"/>
    </w:pPr>
  </w:style>
  <w:style w:type="character" w:styleId="1095">
    <w:name w:val="文档结构图 字符"/>
    <w:next w:val="1095"/>
    <w:link w:val="1094"/>
    <w:qFormat/>
    <w:rPr>
      <w:sz w:val="21"/>
      <w:szCs w:val="24"/>
      <w:shd w:val="clear" w:color="auto" w:fill="000080"/>
    </w:rPr>
  </w:style>
  <w:style w:type="paragraph" w:styleId="1096">
    <w:name w:val="批注文字"/>
    <w:basedOn w:val="1068"/>
    <w:next w:val="1096"/>
    <w:link w:val="1097"/>
    <w:uiPriority w:val="99"/>
    <w:qFormat/>
    <w:pPr>
      <w:jc w:val="left"/>
    </w:pPr>
  </w:style>
  <w:style w:type="character" w:styleId="1097">
    <w:name w:val="批注文字 字符1"/>
    <w:next w:val="1097"/>
    <w:link w:val="1096"/>
    <w:uiPriority w:val="99"/>
    <w:qFormat/>
    <w:rPr>
      <w:sz w:val="21"/>
      <w:szCs w:val="24"/>
    </w:rPr>
  </w:style>
  <w:style w:type="paragraph" w:styleId="1098">
    <w:name w:val="正文文本 3"/>
    <w:basedOn w:val="1068"/>
    <w:next w:val="1098"/>
    <w:link w:val="1099"/>
    <w:qFormat/>
    <w:pPr>
      <w:spacing w:after="120"/>
    </w:pPr>
    <w:rPr>
      <w:sz w:val="16"/>
      <w:szCs w:val="16"/>
    </w:rPr>
  </w:style>
  <w:style w:type="character" w:styleId="1099">
    <w:name w:val="正文文本 3 字符"/>
    <w:next w:val="1099"/>
    <w:link w:val="1098"/>
    <w:qFormat/>
    <w:rPr>
      <w:sz w:val="16"/>
      <w:szCs w:val="16"/>
    </w:rPr>
  </w:style>
  <w:style w:type="paragraph" w:styleId="1100">
    <w:name w:val="正文文本"/>
    <w:basedOn w:val="1068"/>
    <w:next w:val="1100"/>
    <w:link w:val="1101"/>
    <w:qFormat/>
    <w:pPr>
      <w:spacing w:before="120" w:line="22" w:lineRule="atLeast"/>
      <w:tabs>
        <w:tab w:val="left" w:pos="567" w:leader="none"/>
      </w:tabs>
    </w:pPr>
    <w:rPr>
      <w:rFonts w:ascii="宋体" w:hAnsi="宋体"/>
      <w:sz w:val="24"/>
    </w:rPr>
  </w:style>
  <w:style w:type="character" w:styleId="1101">
    <w:name w:val="正文文本 字符1"/>
    <w:next w:val="1101"/>
    <w:link w:val="1100"/>
    <w:qFormat/>
    <w:rPr>
      <w:rFonts w:ascii="宋体" w:hAnsi="宋体"/>
      <w:sz w:val="24"/>
      <w:szCs w:val="24"/>
    </w:rPr>
  </w:style>
  <w:style w:type="paragraph" w:styleId="1102">
    <w:name w:val="正文文本缩进"/>
    <w:basedOn w:val="1068"/>
    <w:next w:val="1102"/>
    <w:link w:val="1103"/>
    <w:qFormat/>
    <w:pPr>
      <w:ind w:firstLine="570"/>
      <w:spacing w:line="360" w:lineRule="auto"/>
    </w:pPr>
    <w:rPr>
      <w:sz w:val="24"/>
    </w:rPr>
  </w:style>
  <w:style w:type="character" w:styleId="1103">
    <w:name w:val="正文文本缩进 字符"/>
    <w:next w:val="1103"/>
    <w:link w:val="1102"/>
    <w:qFormat/>
    <w:rPr>
      <w:rFonts w:eastAsia="宋体"/>
      <w:sz w:val="24"/>
      <w:szCs w:val="24"/>
      <w:lang w:val="en-US" w:eastAsia="zh-CN" w:bidi="ar-SA"/>
    </w:rPr>
  </w:style>
  <w:style w:type="paragraph" w:styleId="1104">
    <w:name w:val="列表 2"/>
    <w:basedOn w:val="1068"/>
    <w:next w:val="1104"/>
    <w:link w:val="1068"/>
    <w:qFormat/>
    <w:pPr>
      <w:ind w:left="100" w:hanging="200"/>
    </w:pPr>
  </w:style>
  <w:style w:type="paragraph" w:styleId="1105">
    <w:name w:val="文本块"/>
    <w:basedOn w:val="1068"/>
    <w:next w:val="1105"/>
    <w:link w:val="1068"/>
    <w:qFormat/>
    <w:pPr>
      <w:ind w:left="480" w:right="-341" w:firstLine="513"/>
      <w:widowControl/>
    </w:pPr>
    <w:rPr>
      <w:sz w:val="24"/>
      <w:szCs w:val="20"/>
    </w:rPr>
  </w:style>
  <w:style w:type="paragraph" w:styleId="1106">
    <w:name w:val="目录 5"/>
    <w:basedOn w:val="1068"/>
    <w:next w:val="1068"/>
    <w:link w:val="1068"/>
    <w:qFormat/>
    <w:pPr>
      <w:ind w:left="1680"/>
    </w:pPr>
  </w:style>
  <w:style w:type="paragraph" w:styleId="1107">
    <w:name w:val="目录 3"/>
    <w:basedOn w:val="1068"/>
    <w:next w:val="1068"/>
    <w:link w:val="1068"/>
    <w:uiPriority w:val="39"/>
    <w:qFormat/>
    <w:pPr>
      <w:ind w:left="840"/>
    </w:pPr>
  </w:style>
  <w:style w:type="paragraph" w:styleId="1108">
    <w:name w:val="纯文本"/>
    <w:basedOn w:val="1068"/>
    <w:next w:val="1108"/>
    <w:link w:val="1109"/>
    <w:uiPriority w:val="99"/>
    <w:qFormat/>
    <w:rPr>
      <w:rFonts w:hint="eastAsia" w:ascii="宋体" w:hAnsi="Courier New"/>
      <w:szCs w:val="20"/>
    </w:rPr>
  </w:style>
  <w:style w:type="character" w:styleId="1109">
    <w:name w:val="纯文本 字符2"/>
    <w:next w:val="1109"/>
    <w:link w:val="1108"/>
    <w:qFormat/>
    <w:rPr>
      <w:rFonts w:hint="eastAsia" w:ascii="宋体" w:hAnsi="Courier New" w:eastAsia="宋体" w:cs="宋体"/>
      <w:sz w:val="21"/>
    </w:rPr>
  </w:style>
  <w:style w:type="paragraph" w:styleId="1110">
    <w:name w:val="目录 8"/>
    <w:basedOn w:val="1068"/>
    <w:next w:val="1068"/>
    <w:link w:val="1068"/>
    <w:qFormat/>
    <w:pPr>
      <w:ind w:left="2940"/>
    </w:pPr>
  </w:style>
  <w:style w:type="paragraph" w:styleId="1111">
    <w:name w:val="日期"/>
    <w:basedOn w:val="1068"/>
    <w:next w:val="1068"/>
    <w:link w:val="1112"/>
    <w:qFormat/>
    <w:pPr>
      <w:ind w:left="100"/>
    </w:pPr>
    <w:rPr>
      <w:rFonts w:ascii="仿宋_GB2312" w:hAnsi="宋体" w:eastAsia="仿宋_GB2312"/>
      <w:color w:val="000000"/>
      <w:sz w:val="24"/>
    </w:rPr>
  </w:style>
  <w:style w:type="character" w:styleId="1112">
    <w:name w:val="日期 字符"/>
    <w:next w:val="1112"/>
    <w:link w:val="1111"/>
    <w:qFormat/>
    <w:rPr>
      <w:rFonts w:ascii="仿宋_GB2312" w:hAnsi="宋体" w:eastAsia="仿宋_GB2312"/>
      <w:color w:val="000000"/>
      <w:sz w:val="24"/>
      <w:szCs w:val="24"/>
    </w:rPr>
  </w:style>
  <w:style w:type="paragraph" w:styleId="1113">
    <w:name w:val="正文文本缩进 2"/>
    <w:basedOn w:val="1068"/>
    <w:next w:val="1113"/>
    <w:link w:val="1114"/>
    <w:qFormat/>
    <w:pPr>
      <w:ind w:firstLine="480"/>
    </w:pPr>
    <w:rPr>
      <w:rFonts w:ascii="仿宋_GB2312" w:eastAsia="仿宋_GB2312"/>
      <w:sz w:val="24"/>
    </w:rPr>
  </w:style>
  <w:style w:type="character" w:styleId="1114">
    <w:name w:val="正文文本缩进 2 字符"/>
    <w:next w:val="1114"/>
    <w:link w:val="1113"/>
    <w:qFormat/>
    <w:rPr>
      <w:rFonts w:ascii="仿宋_GB2312" w:eastAsia="仿宋_GB2312"/>
      <w:sz w:val="24"/>
      <w:szCs w:val="24"/>
    </w:rPr>
  </w:style>
  <w:style w:type="paragraph" w:styleId="1115">
    <w:name w:val="批注框文本"/>
    <w:basedOn w:val="1068"/>
    <w:next w:val="1115"/>
    <w:link w:val="1116"/>
    <w:qFormat/>
    <w:rPr>
      <w:sz w:val="18"/>
      <w:szCs w:val="18"/>
    </w:rPr>
  </w:style>
  <w:style w:type="character" w:styleId="1116">
    <w:name w:val="批注框文本 字符"/>
    <w:next w:val="1116"/>
    <w:link w:val="1115"/>
    <w:qFormat/>
    <w:rPr>
      <w:sz w:val="18"/>
      <w:szCs w:val="18"/>
    </w:rPr>
  </w:style>
  <w:style w:type="paragraph" w:styleId="1117">
    <w:name w:val="页脚"/>
    <w:basedOn w:val="1068"/>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字符"/>
    <w:next w:val="1118"/>
    <w:link w:val="1117"/>
    <w:uiPriority w:val="99"/>
    <w:qFormat/>
    <w:rPr>
      <w:rFonts w:ascii="宋体" w:eastAsia="宋体"/>
      <w:sz w:val="18"/>
      <w:lang w:val="en-US" w:eastAsia="zh-CN" w:bidi="ar-SA"/>
    </w:rPr>
  </w:style>
  <w:style w:type="paragraph" w:styleId="1119">
    <w:name w:val="页眉"/>
    <w:basedOn w:val="1068"/>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字符"/>
    <w:next w:val="1120"/>
    <w:link w:val="1119"/>
    <w:qFormat/>
    <w:rPr>
      <w:rFonts w:eastAsia="宋体"/>
      <w:sz w:val="18"/>
      <w:szCs w:val="18"/>
      <w:lang w:val="en-US" w:eastAsia="zh-CN" w:bidi="ar-SA"/>
    </w:rPr>
  </w:style>
  <w:style w:type="paragraph" w:styleId="1121">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8"/>
    <w:next w:val="1068"/>
    <w:link w:val="1068"/>
    <w:qFormat/>
    <w:pPr>
      <w:ind w:left="1260"/>
    </w:pPr>
  </w:style>
  <w:style w:type="paragraph" w:styleId="1123">
    <w:name w:val="目录 6"/>
    <w:basedOn w:val="1068"/>
    <w:next w:val="1068"/>
    <w:link w:val="1068"/>
    <w:qFormat/>
    <w:pPr>
      <w:ind w:left="2100"/>
    </w:pPr>
  </w:style>
  <w:style w:type="paragraph" w:styleId="1124">
    <w:name w:val="正文文本缩进 3"/>
    <w:basedOn w:val="1068"/>
    <w:next w:val="1124"/>
    <w:link w:val="1125"/>
    <w:qFormat/>
    <w:pPr>
      <w:ind w:left="720" w:firstLine="480"/>
      <w:jc w:val="left"/>
      <w:spacing w:before="120" w:line="22" w:lineRule="atLeast"/>
    </w:pPr>
    <w:rPr>
      <w:rFonts w:ascii="宋体"/>
      <w:sz w:val="24"/>
      <w:szCs w:val="20"/>
    </w:rPr>
  </w:style>
  <w:style w:type="character" w:styleId="1125">
    <w:name w:val="正文文本缩进 3 字符"/>
    <w:next w:val="1125"/>
    <w:link w:val="1124"/>
    <w:qFormat/>
    <w:rPr>
      <w:rFonts w:ascii="宋体"/>
      <w:sz w:val="24"/>
    </w:rPr>
  </w:style>
  <w:style w:type="paragraph" w:styleId="1126">
    <w:name w:val="目录 2"/>
    <w:basedOn w:val="1068"/>
    <w:next w:val="1068"/>
    <w:link w:val="1068"/>
    <w:uiPriority w:val="39"/>
    <w:qFormat/>
    <w:pPr>
      <w:ind w:left="420"/>
      <w:spacing w:line="312" w:lineRule="auto"/>
      <w:tabs>
        <w:tab w:val="right" w:pos="8937" w:leader="dot"/>
      </w:tabs>
    </w:pPr>
  </w:style>
  <w:style w:type="paragraph" w:styleId="1127">
    <w:name w:val="目录 9"/>
    <w:basedOn w:val="1068"/>
    <w:next w:val="1068"/>
    <w:link w:val="1068"/>
    <w:qFormat/>
    <w:pPr>
      <w:ind w:left="3360"/>
    </w:pPr>
  </w:style>
  <w:style w:type="paragraph" w:styleId="1128">
    <w:name w:val="HTML 预设格式"/>
    <w:basedOn w:val="1068"/>
    <w:next w:val="1128"/>
    <w:link w:val="11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9">
    <w:name w:val="HTML 预设格式 字符"/>
    <w:next w:val="1129"/>
    <w:link w:val="1128"/>
    <w:qFormat/>
    <w:rPr>
      <w:rFonts w:ascii="宋体" w:hAnsi="宋体" w:cs="宋体"/>
      <w:sz w:val="24"/>
      <w:szCs w:val="24"/>
    </w:rPr>
  </w:style>
  <w:style w:type="paragraph" w:styleId="1130">
    <w:name w:val="普通(网站)"/>
    <w:basedOn w:val="1068"/>
    <w:next w:val="1130"/>
    <w:link w:val="1068"/>
    <w:uiPriority w:val="99"/>
    <w:unhideWhenUsed/>
    <w:qFormat/>
    <w:pPr>
      <w:jc w:val="left"/>
      <w:spacing w:before="100" w:beforeAutospacing="1" w:after="100" w:afterAutospacing="1"/>
      <w:widowControl/>
    </w:pPr>
    <w:rPr>
      <w:rFonts w:ascii="宋体" w:hAnsi="宋体" w:cs="宋体"/>
      <w:sz w:val="24"/>
    </w:rPr>
  </w:style>
  <w:style w:type="paragraph" w:styleId="1131">
    <w:name w:val="索引 1"/>
    <w:basedOn w:val="1068"/>
    <w:next w:val="1068"/>
    <w:link w:val="1068"/>
    <w:qFormat/>
    <w:rPr>
      <w:szCs w:val="20"/>
    </w:rPr>
  </w:style>
  <w:style w:type="paragraph" w:styleId="1132">
    <w:name w:val="标题"/>
    <w:basedOn w:val="1068"/>
    <w:next w:val="1132"/>
    <w:link w:val="1133"/>
    <w:qFormat/>
    <w:pPr>
      <w:jc w:val="center"/>
      <w:outlineLvl w:val="0"/>
    </w:pPr>
    <w:rPr>
      <w:b/>
      <w:sz w:val="32"/>
      <w:szCs w:val="20"/>
    </w:rPr>
  </w:style>
  <w:style w:type="character" w:styleId="1133">
    <w:name w:val="标题 字符"/>
    <w:next w:val="1133"/>
    <w:link w:val="1132"/>
    <w:qFormat/>
    <w:rPr>
      <w:b/>
      <w:sz w:val="32"/>
    </w:rPr>
  </w:style>
  <w:style w:type="paragraph" w:styleId="1134">
    <w:name w:val="批注主题"/>
    <w:basedOn w:val="1096"/>
    <w:next w:val="1096"/>
    <w:link w:val="1135"/>
    <w:qFormat/>
    <w:rPr>
      <w:b/>
      <w:bCs/>
    </w:rPr>
  </w:style>
  <w:style w:type="character" w:styleId="1135">
    <w:name w:val="批注主题 字符"/>
    <w:next w:val="1135"/>
    <w:link w:val="1134"/>
    <w:qFormat/>
    <w:rPr>
      <w:rFonts w:ascii="Times New Roman" w:hAnsi="Times New Roman" w:eastAsia="宋体" w:cs="Times New Roman"/>
      <w:b/>
      <w:bCs/>
      <w:sz w:val="21"/>
      <w:szCs w:val="24"/>
      <w:lang w:val="en-US" w:eastAsia="zh-CN" w:bidi="ar-SA"/>
    </w:rPr>
  </w:style>
  <w:style w:type="paragraph" w:styleId="1136">
    <w:name w:val="正文首行缩进 2"/>
    <w:basedOn w:val="1102"/>
    <w:next w:val="1136"/>
    <w:link w:val="1137"/>
    <w:qFormat/>
    <w:pPr>
      <w:ind w:left="420" w:firstLine="420"/>
      <w:spacing w:after="120" w:line="480" w:lineRule="exact"/>
    </w:pPr>
    <w:rPr>
      <w:szCs w:val="20"/>
    </w:rPr>
  </w:style>
  <w:style w:type="character" w:styleId="1137">
    <w:name w:val="正文首行缩进 2 字符"/>
    <w:next w:val="1137"/>
    <w:link w:val="1136"/>
    <w:qFormat/>
    <w:rPr>
      <w:rFonts w:eastAsia="宋体"/>
      <w:sz w:val="24"/>
      <w:szCs w:val="24"/>
      <w:lang w:val="en-US" w:eastAsia="zh-CN" w:bidi="ar-SA"/>
    </w:rPr>
  </w:style>
  <w:style w:type="table" w:styleId="1138">
    <w:name w:val="网格型"/>
    <w:basedOn w:val="1079"/>
    <w:next w:val="1138"/>
    <w:link w:val="1068"/>
    <w:uiPriority w:val="39"/>
    <w:qFormat/>
    <w:tblPr/>
  </w:style>
  <w:style w:type="table" w:styleId="1139">
    <w:name w:val="中等深浅网格 1 - 着色 2"/>
    <w:basedOn w:val="1079"/>
    <w:next w:val="1139"/>
    <w:link w:val="1068"/>
    <w:qFormat/>
    <w:rPr>
      <w:sz w:val="21"/>
      <w:szCs w:val="24"/>
    </w:rPr>
    <w:tblPr/>
  </w:style>
  <w:style w:type="character" w:styleId="1140">
    <w:name w:val="要点"/>
    <w:next w:val="1140"/>
    <w:link w:val="1068"/>
    <w:qFormat/>
    <w:rPr>
      <w:b/>
      <w:bCs/>
    </w:rPr>
  </w:style>
  <w:style w:type="character" w:styleId="1141">
    <w:name w:val="页码"/>
    <w:next w:val="1141"/>
    <w:link w:val="1068"/>
    <w:qFormat/>
  </w:style>
  <w:style w:type="character" w:styleId="1142">
    <w:name w:val="访问过的超链接"/>
    <w:next w:val="1142"/>
    <w:link w:val="1068"/>
    <w:qFormat/>
    <w:rPr>
      <w:color w:val="800080"/>
      <w:u w:val="single"/>
    </w:rPr>
  </w:style>
  <w:style w:type="character" w:styleId="1143">
    <w:name w:val="强调"/>
    <w:next w:val="1143"/>
    <w:link w:val="1068"/>
    <w:qFormat/>
    <w:rPr>
      <w:color w:val="cc0033"/>
    </w:rPr>
  </w:style>
  <w:style w:type="character" w:styleId="1144">
    <w:name w:val="超链接"/>
    <w:next w:val="1144"/>
    <w:link w:val="1068"/>
    <w:uiPriority w:val="99"/>
    <w:qFormat/>
    <w:rPr>
      <w:color w:val="0000ff"/>
      <w:u w:val="single"/>
    </w:rPr>
  </w:style>
  <w:style w:type="character" w:styleId="1145">
    <w:name w:val="批注引用"/>
    <w:next w:val="1145"/>
    <w:link w:val="1068"/>
    <w:uiPriority w:val="99"/>
    <w:qFormat/>
    <w:rPr>
      <w:sz w:val="21"/>
      <w:szCs w:val="21"/>
    </w:rPr>
  </w:style>
  <w:style w:type="character" w:styleId="1146">
    <w:name w:val="HTML 引文"/>
    <w:next w:val="1146"/>
    <w:link w:val="1068"/>
    <w:qFormat/>
    <w:rPr>
      <w:i/>
      <w:iCs/>
    </w:rPr>
  </w:style>
  <w:style w:type="character" w:styleId="1147">
    <w:name w:val="批注文字 字符"/>
    <w:next w:val="1147"/>
    <w:link w:val="1068"/>
    <w:uiPriority w:val="99"/>
    <w:qFormat/>
    <w:rPr>
      <w:rFonts w:ascii="Times New Roman" w:hAnsi="Times New Roman" w:eastAsia="宋体" w:cs="Times New Roman"/>
      <w:sz w:val="24"/>
      <w:lang w:val="en-US" w:eastAsia="zh-CN" w:bidi="ar-SA"/>
    </w:rPr>
  </w:style>
  <w:style w:type="character" w:styleId="1148">
    <w:name w:val="c21"/>
    <w:next w:val="1148"/>
    <w:link w:val="1068"/>
    <w:qFormat/>
    <w:rPr>
      <w:rFonts w:ascii="ˎ̥" w:hAnsi="ˎ̥"/>
      <w:color w:val="000000"/>
      <w:sz w:val="20"/>
      <w:szCs w:val="20"/>
      <w:u w:val="none"/>
    </w:rPr>
  </w:style>
  <w:style w:type="character" w:styleId="1149">
    <w:name w:val="title4"/>
    <w:next w:val="1149"/>
    <w:link w:val="1068"/>
    <w:qFormat/>
    <w:rPr>
      <w:b/>
      <w:bCs/>
      <w:color w:val="1d87b3"/>
      <w:sz w:val="15"/>
      <w:szCs w:val="15"/>
    </w:rPr>
  </w:style>
  <w:style w:type="character" w:styleId="1150">
    <w:name w:val="标题 2 Char Char"/>
    <w:next w:val="1150"/>
    <w:link w:val="1068"/>
    <w:qFormat/>
    <w:rPr>
      <w:rFonts w:ascii="Arial" w:hAnsi="Arial" w:eastAsia="黑体"/>
      <w:b/>
      <w:bCs/>
      <w:sz w:val="32"/>
      <w:szCs w:val="32"/>
      <w:lang w:val="en-US" w:eastAsia="zh-CN" w:bidi="ar-SA"/>
    </w:rPr>
  </w:style>
  <w:style w:type="character" w:styleId="1151">
    <w:name w:val="black1"/>
    <w:next w:val="1151"/>
    <w:link w:val="1068"/>
    <w:qFormat/>
    <w:rPr>
      <w:color w:val="000000"/>
    </w:rPr>
  </w:style>
  <w:style w:type="character" w:styleId="1152">
    <w:name w:val="street-address"/>
    <w:next w:val="1152"/>
    <w:link w:val="1068"/>
    <w:qFormat/>
  </w:style>
  <w:style w:type="character" w:styleId="1153">
    <w:name w:val="locality"/>
    <w:next w:val="1153"/>
    <w:link w:val="1068"/>
    <w:qFormat/>
  </w:style>
  <w:style w:type="character" w:styleId="1154">
    <w:name w:val="正文文本缩进 Char1"/>
    <w:next w:val="1154"/>
    <w:link w:val="1155"/>
    <w:qFormat/>
    <w:rPr>
      <w:rFonts w:ascii="宋体" w:hAnsi="宋体" w:eastAsia="宋体"/>
      <w:sz w:val="24"/>
      <w:szCs w:val="24"/>
      <w:lang w:bidi="ar-SA"/>
    </w:rPr>
  </w:style>
  <w:style w:type="paragraph" w:styleId="1155">
    <w:name w:val="正文文本缩进1"/>
    <w:basedOn w:val="1068"/>
    <w:next w:val="1155"/>
    <w:link w:val="1154"/>
    <w:qFormat/>
    <w:pPr>
      <w:ind w:firstLine="480"/>
      <w:spacing w:line="480" w:lineRule="exact"/>
    </w:pPr>
    <w:rPr>
      <w:rFonts w:ascii="宋体" w:hAnsi="宋体"/>
      <w:sz w:val="24"/>
    </w:rPr>
  </w:style>
  <w:style w:type="character" w:styleId="1156">
    <w:name w:val="Char Char11"/>
    <w:next w:val="1156"/>
    <w:link w:val="1068"/>
    <w:qFormat/>
    <w:rPr>
      <w:rFonts w:ascii="宋体" w:eastAsia="宋体"/>
      <w:b/>
      <w:sz w:val="24"/>
      <w:u w:val="single"/>
      <w:lang w:val="en-US" w:eastAsia="zh-CN" w:bidi="ar-SA"/>
    </w:rPr>
  </w:style>
  <w:style w:type="character" w:styleId="1157">
    <w:name w:val="txt"/>
    <w:next w:val="1157"/>
    <w:link w:val="1068"/>
    <w:qFormat/>
  </w:style>
  <w:style w:type="character" w:styleId="1158">
    <w:name w:val="正文缩进 Char Char"/>
    <w:next w:val="1158"/>
    <w:link w:val="1159"/>
    <w:qFormat/>
    <w:rPr>
      <w:rFonts w:ascii="宋体" w:eastAsia="宋体"/>
      <w:color w:val="000000"/>
      <w:sz w:val="28"/>
      <w:lang w:bidi="ar-SA"/>
    </w:rPr>
  </w:style>
  <w:style w:type="paragraph" w:styleId="1159">
    <w:name w:val="正文缩进1"/>
    <w:basedOn w:val="1068"/>
    <w:next w:val="1159"/>
    <w:link w:val="1158"/>
    <w:qFormat/>
    <w:pPr>
      <w:ind w:firstLine="567"/>
      <w:spacing w:line="480" w:lineRule="exact"/>
      <w:widowControl/>
    </w:pPr>
    <w:rPr>
      <w:rFonts w:ascii="宋体"/>
      <w:color w:val="000000"/>
      <w:sz w:val="28"/>
      <w:szCs w:val="20"/>
    </w:rPr>
  </w:style>
  <w:style w:type="character" w:styleId="1160">
    <w:name w:val="普通文字1 Char1"/>
    <w:next w:val="1160"/>
    <w:link w:val="1068"/>
    <w:qFormat/>
    <w:rPr>
      <w:rFonts w:ascii="宋体" w:hAnsi="Courier New" w:eastAsia="宋体"/>
      <w:sz w:val="21"/>
      <w:lang w:val="en-US" w:eastAsia="zh-CN" w:bidi="ar-SA"/>
    </w:rPr>
  </w:style>
  <w:style w:type="character" w:styleId="1161">
    <w:name w:val="chanpin1"/>
    <w:next w:val="1161"/>
    <w:link w:val="1068"/>
    <w:qFormat/>
    <w:rPr>
      <w:rFonts w:ascii="ˎ̥" w:hAnsi="ˎ̥"/>
      <w:color w:val="000000"/>
      <w:sz w:val="20"/>
      <w:szCs w:val="20"/>
      <w:u w:val="none"/>
    </w:rPr>
  </w:style>
  <w:style w:type="character" w:styleId="1162">
    <w:name w:val="列出段落 字符"/>
    <w:next w:val="1162"/>
    <w:link w:val="1163"/>
    <w:uiPriority w:val="34"/>
    <w:qFormat/>
    <w:rPr>
      <w:rFonts w:ascii="Calibri" w:hAnsi="Calibri" w:eastAsia="宋体"/>
      <w:sz w:val="21"/>
      <w:szCs w:val="22"/>
      <w:lang w:val="en-US" w:eastAsia="zh-CN" w:bidi="ar-SA"/>
    </w:rPr>
  </w:style>
  <w:style w:type="paragraph" w:styleId="1163">
    <w:name w:val="列出段落"/>
    <w:basedOn w:val="1068"/>
    <w:next w:val="1163"/>
    <w:link w:val="1162"/>
    <w:uiPriority w:val="34"/>
    <w:qFormat/>
    <w:pPr>
      <w:ind w:firstLine="420"/>
    </w:pPr>
    <w:rPr>
      <w:rFonts w:ascii="Calibri" w:hAnsi="Calibri"/>
      <w:szCs w:val="22"/>
    </w:rPr>
  </w:style>
  <w:style w:type="character" w:styleId="1164">
    <w:name w:val="标题 3 Char Char"/>
    <w:next w:val="1164"/>
    <w:link w:val="1068"/>
    <w:qFormat/>
    <w:rPr>
      <w:rFonts w:eastAsia="宋体"/>
      <w:b/>
      <w:bCs/>
      <w:sz w:val="32"/>
      <w:szCs w:val="32"/>
      <w:lang w:val="en-US" w:eastAsia="zh-CN" w:bidi="ar-SA"/>
    </w:rPr>
  </w:style>
  <w:style w:type="character" w:styleId="1165">
    <w:name w:val="段1 Char"/>
    <w:next w:val="1165"/>
    <w:link w:val="1068"/>
    <w:qFormat/>
    <w:rPr>
      <w:rFonts w:ascii="宋体" w:eastAsia="宋体"/>
      <w:sz w:val="24"/>
      <w:lang w:val="en-US" w:eastAsia="zh-CN" w:bidi="ar-SA"/>
    </w:rPr>
  </w:style>
  <w:style w:type="character" w:styleId="1166">
    <w:name w:val="chanpin拷贝"/>
    <w:next w:val="1166"/>
    <w:link w:val="1068"/>
    <w:qFormat/>
  </w:style>
  <w:style w:type="character" w:styleId="1167">
    <w:name w:val="纯文本 Char1"/>
    <w:next w:val="1167"/>
    <w:link w:val="1068"/>
    <w:uiPriority w:val="99"/>
    <w:qFormat/>
    <w:rPr>
      <w:rFonts w:ascii="宋体" w:hAnsi="Courier New" w:eastAsia="宋体"/>
      <w:sz w:val="21"/>
      <w:lang w:val="en-US" w:eastAsia="zh-CN" w:bidi="ar-SA"/>
    </w:rPr>
  </w:style>
  <w:style w:type="character" w:styleId="1168">
    <w:name w:val="apple-style-span"/>
    <w:next w:val="1168"/>
    <w:link w:val="1068"/>
    <w:qFormat/>
    <w:rPr>
      <w:rFonts w:cs="Times New Roman"/>
    </w:rPr>
  </w:style>
  <w:style w:type="paragraph" w:styleId="1169">
    <w:name w:val="二级条标题"/>
    <w:basedOn w:val="1170"/>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70">
    <w:name w:val="一级条标题"/>
    <w:basedOn w:val="1171"/>
    <w:next w:val="1068"/>
    <w:link w:val="1068"/>
    <w:qFormat/>
    <w:pPr>
      <w:numPr>
        <w:ilvl w:val="1"/>
      </w:numPr>
      <w:ind w:left="0" w:hanging="840"/>
      <w:tabs>
        <w:tab w:val="left" w:pos="360" w:leader="none"/>
        <w:tab w:val="left" w:pos="840" w:leader="none"/>
      </w:tabs>
      <w:outlineLvl w:val="1"/>
    </w:pPr>
  </w:style>
  <w:style w:type="paragraph" w:styleId="1171">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2">
    <w:name w:val="font7"/>
    <w:basedOn w:val="1068"/>
    <w:next w:val="1172"/>
    <w:link w:val="1068"/>
    <w:qFormat/>
    <w:pPr>
      <w:jc w:val="left"/>
      <w:spacing w:before="100" w:beforeAutospacing="1" w:after="100" w:afterAutospacing="1"/>
      <w:widowControl/>
    </w:pPr>
    <w:rPr>
      <w:rFonts w:eastAsia="Arial Unicode MS"/>
      <w:b/>
      <w:bCs/>
      <w:color w:val="000000"/>
      <w:sz w:val="20"/>
      <w:szCs w:val="20"/>
    </w:rPr>
  </w:style>
  <w:style w:type="paragraph" w:styleId="1173">
    <w:name w:val="字元 字元"/>
    <w:basedOn w:val="1068"/>
    <w:next w:val="1173"/>
    <w:link w:val="1068"/>
    <w:qFormat/>
    <w:rPr>
      <w:rFonts w:ascii="Tahoma" w:hAnsi="Tahoma"/>
      <w:sz w:val="24"/>
      <w:szCs w:val="20"/>
    </w:rPr>
  </w:style>
  <w:style w:type="paragraph" w:styleId="1174">
    <w:name w:val="Char3 Char Char Char"/>
    <w:basedOn w:val="1068"/>
    <w:next w:val="1174"/>
    <w:link w:val="1068"/>
    <w:qFormat/>
    <w:rPr>
      <w:rFonts w:ascii="Tahoma" w:hAnsi="Tahoma"/>
      <w:sz w:val="24"/>
      <w:szCs w:val="20"/>
    </w:rPr>
  </w:style>
  <w:style w:type="paragraph" w:styleId="1175">
    <w:name w:val="font6"/>
    <w:basedOn w:val="1068"/>
    <w:next w:val="1175"/>
    <w:link w:val="1068"/>
    <w:qFormat/>
    <w:pPr>
      <w:jc w:val="left"/>
      <w:spacing w:before="100" w:beforeAutospacing="1" w:after="100" w:afterAutospacing="1"/>
      <w:widowControl/>
    </w:pPr>
    <w:rPr>
      <w:rFonts w:ascii="宋体" w:hAnsi="宋体" w:cs="宋体"/>
      <w:sz w:val="20"/>
      <w:szCs w:val="20"/>
    </w:rPr>
  </w:style>
  <w:style w:type="paragraph" w:styleId="1176">
    <w:name w:val="项目编号2"/>
    <w:basedOn w:val="1177"/>
    <w:next w:val="1176"/>
    <w:link w:val="1068"/>
    <w:qFormat/>
    <w:pPr>
      <w:numPr>
        <w:numId w:val="3"/>
      </w:numPr>
    </w:pPr>
  </w:style>
  <w:style w:type="paragraph" w:styleId="1177">
    <w:name w:val="项目编号1"/>
    <w:basedOn w:val="1068"/>
    <w:next w:val="1177"/>
    <w:link w:val="1068"/>
    <w:qFormat/>
    <w:pPr>
      <w:numPr>
        <w:ilvl w:val="0"/>
        <w:numId w:val="2"/>
      </w:numPr>
      <w:spacing w:before="100" w:beforeAutospacing="1" w:after="100" w:afterAutospacing="1" w:line="360" w:lineRule="auto"/>
    </w:pPr>
    <w:rPr>
      <w:sz w:val="24"/>
    </w:rPr>
  </w:style>
  <w:style w:type="paragraph" w:styleId="1178">
    <w:name w:val="图中文字"/>
    <w:basedOn w:val="1068"/>
    <w:next w:val="1178"/>
    <w:link w:val="1068"/>
    <w:qFormat/>
    <w:pPr>
      <w:jc w:val="center"/>
      <w:spacing w:line="0" w:lineRule="atLeast"/>
    </w:pPr>
    <w:rPr>
      <w:sz w:val="24"/>
      <w:szCs w:val="20"/>
    </w:rPr>
  </w:style>
  <w:style w:type="paragraph" w:styleId="1179">
    <w:name w:val="xl46"/>
    <w:basedOn w:val="1068"/>
    <w:next w:val="1179"/>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xl25"/>
    <w:basedOn w:val="1068"/>
    <w:next w:val="1180"/>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2"/>
    <w:basedOn w:val="1068"/>
    <w:next w:val="1181"/>
    <w:link w:val="1068"/>
    <w:qFormat/>
    <w:rPr>
      <w:rFonts w:ascii="Tahoma" w:hAnsi="Tahoma"/>
      <w:sz w:val="24"/>
      <w:szCs w:val="20"/>
    </w:rPr>
  </w:style>
  <w:style w:type="paragraph" w:styleId="1182">
    <w:name w:val="xl35"/>
    <w:basedOn w:val="1068"/>
    <w:next w:val="118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xl40"/>
    <w:basedOn w:val="1068"/>
    <w:next w:val="1183"/>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52"/>
    <w:basedOn w:val="1068"/>
    <w:next w:val="118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5">
    <w:name w:val="xl43"/>
    <w:basedOn w:val="1068"/>
    <w:next w:val="1185"/>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background1"/>
    <w:basedOn w:val="1068"/>
    <w:next w:val="1186"/>
    <w:link w:val="1068"/>
    <w:qFormat/>
    <w:pPr>
      <w:jc w:val="left"/>
      <w:spacing w:before="100" w:beforeAutospacing="1" w:after="100" w:afterAutospacing="1"/>
      <w:widowControl/>
    </w:pPr>
    <w:rPr>
      <w:rFonts w:ascii="宋体" w:hAnsi="宋体" w:cs="宋体"/>
      <w:sz w:val="24"/>
    </w:rPr>
  </w:style>
  <w:style w:type="paragraph" w:styleId="1187">
    <w:name w:val="Char Char Char Char Char Char Char"/>
    <w:basedOn w:val="1068"/>
    <w:next w:val="1187"/>
    <w:link w:val="1068"/>
    <w:qFormat/>
    <w:pPr>
      <w:ind w:firstLine="200"/>
      <w:spacing w:line="360" w:lineRule="auto"/>
    </w:pPr>
    <w:rPr>
      <w:rFonts w:eastAsia="仿宋_GB2312"/>
      <w:sz w:val="24"/>
    </w:rPr>
  </w:style>
  <w:style w:type="paragraph" w:styleId="1188">
    <w:name w:val="xl38"/>
    <w:basedOn w:val="1068"/>
    <w:next w:val="118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9">
    <w:name w:val="xl36"/>
    <w:basedOn w:val="1068"/>
    <w:next w:val="1189"/>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正文 + 宋体"/>
    <w:basedOn w:val="1068"/>
    <w:next w:val="1190"/>
    <w:link w:val="1068"/>
    <w:qFormat/>
    <w:pPr>
      <w:ind w:left="360" w:hanging="360"/>
      <w:jc w:val="left"/>
      <w:widowControl/>
    </w:pPr>
    <w:rPr>
      <w:rFonts w:ascii="宋体" w:hAnsi="宋体" w:cs="宋体"/>
      <w:b/>
      <w:bCs/>
      <w:color w:val="000000"/>
      <w:sz w:val="18"/>
      <w:szCs w:val="18"/>
    </w:rPr>
  </w:style>
  <w:style w:type="paragraph" w:styleId="1191">
    <w:name w:val="正文列项_数字"/>
    <w:basedOn w:val="1068"/>
    <w:next w:val="1191"/>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2">
    <w:name w:val="xl39"/>
    <w:basedOn w:val="1068"/>
    <w:next w:val="119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37"/>
    <w:basedOn w:val="1068"/>
    <w:next w:val="1193"/>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xl32"/>
    <w:basedOn w:val="1068"/>
    <w:next w:val="119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font8"/>
    <w:basedOn w:val="1068"/>
    <w:next w:val="1195"/>
    <w:link w:val="1068"/>
    <w:qFormat/>
    <w:pPr>
      <w:jc w:val="left"/>
      <w:spacing w:before="100" w:beforeAutospacing="1" w:after="100" w:afterAutospacing="1"/>
      <w:widowControl/>
    </w:pPr>
    <w:rPr>
      <w:sz w:val="36"/>
      <w:szCs w:val="36"/>
    </w:rPr>
  </w:style>
  <w:style w:type="paragraph" w:styleId="1196">
    <w:name w:val="Char"/>
    <w:basedOn w:val="1068"/>
    <w:next w:val="1196"/>
    <w:link w:val="1068"/>
    <w:qFormat/>
    <w:pPr>
      <w:tabs>
        <w:tab w:val="left" w:pos="360" w:leader="none"/>
      </w:tabs>
    </w:pPr>
    <w:rPr>
      <w:sz w:val="24"/>
    </w:rPr>
  </w:style>
  <w:style w:type="paragraph" w:styleId="1197">
    <w:name w:val="Char Char Char Char Char Char Char Char Char Char Char Char Char Char Char Char"/>
    <w:basedOn w:val="1068"/>
    <w:next w:val="1197"/>
    <w:link w:val="1068"/>
    <w:qFormat/>
    <w:pPr>
      <w:jc w:val="center"/>
      <w:spacing w:after="160" w:line="240" w:lineRule="exact"/>
      <w:widowControl/>
    </w:pPr>
    <w:rPr>
      <w:rFonts w:ascii="宋体" w:hAnsi="宋体"/>
      <w:b/>
      <w:sz w:val="30"/>
      <w:szCs w:val="30"/>
      <w:lang w:eastAsia="en-US"/>
    </w:rPr>
  </w:style>
  <w:style w:type="paragraph" w:styleId="1198">
    <w:name w:val="xl45"/>
    <w:basedOn w:val="1068"/>
    <w:next w:val="1198"/>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Char Char1 Char Char Char Char Char Char"/>
    <w:basedOn w:val="1068"/>
    <w:next w:val="1199"/>
    <w:link w:val="1068"/>
    <w:qFormat/>
    <w:pPr>
      <w:jc w:val="left"/>
      <w:spacing w:after="160" w:line="240" w:lineRule="exact"/>
      <w:widowControl/>
    </w:pPr>
    <w:rPr>
      <w:rFonts w:ascii="Verdana" w:hAnsi="Verdana" w:eastAsia="仿宋_GB2312"/>
      <w:sz w:val="24"/>
      <w:szCs w:val="20"/>
      <w:lang w:eastAsia="en-US"/>
    </w:rPr>
  </w:style>
  <w:style w:type="paragraph" w:styleId="1200">
    <w:name w:val="Char Char1"/>
    <w:basedOn w:val="1094"/>
    <w:next w:val="1200"/>
    <w:link w:val="1068"/>
    <w:qFormat/>
    <w:rPr>
      <w:rFonts w:ascii="Tahoma" w:hAnsi="Tahoma"/>
      <w:sz w:val="24"/>
    </w:rPr>
  </w:style>
  <w:style w:type="paragraph" w:styleId="1201">
    <w:name w:val="xl26"/>
    <w:basedOn w:val="1068"/>
    <w:next w:val="120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2">
    <w:name w:val="xl30"/>
    <w:basedOn w:val="1068"/>
    <w:next w:val="120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41"/>
    <w:basedOn w:val="1068"/>
    <w:next w:val="1203"/>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样式 宋体 五号 行距: 单倍行距"/>
    <w:basedOn w:val="1068"/>
    <w:next w:val="1204"/>
    <w:link w:val="1068"/>
    <w:qFormat/>
    <w:pPr>
      <w:jc w:val="left"/>
    </w:pPr>
    <w:rPr>
      <w:rFonts w:ascii="宋体" w:hAnsi="宋体"/>
      <w:szCs w:val="20"/>
    </w:rPr>
  </w:style>
  <w:style w:type="paragraph" w:styleId="1205">
    <w:name w:val="Char1 Char Char Char1"/>
    <w:basedOn w:val="1068"/>
    <w:next w:val="1205"/>
    <w:link w:val="1068"/>
    <w:qFormat/>
    <w:rPr>
      <w:rFonts w:ascii="Tahoma" w:hAnsi="Tahoma" w:cs="仿宋_GB2312"/>
      <w:sz w:val="24"/>
      <w:szCs w:val="28"/>
    </w:rPr>
  </w:style>
  <w:style w:type="paragraph" w:styleId="1206">
    <w:name w:val="四级条标题"/>
    <w:basedOn w:val="1207"/>
    <w:next w:val="1068"/>
    <w:link w:val="1068"/>
    <w:qFormat/>
    <w:pPr>
      <w:numPr>
        <w:ilvl w:val="4"/>
      </w:numPr>
      <w:ind w:left="0" w:hanging="840"/>
      <w:tabs>
        <w:tab w:val="left" w:pos="360" w:leader="none"/>
        <w:tab w:val="left" w:pos="840" w:leader="none"/>
      </w:tabs>
      <w:outlineLvl w:val="4"/>
    </w:pPr>
  </w:style>
  <w:style w:type="paragraph" w:styleId="1207">
    <w:name w:val="三级条标题"/>
    <w:basedOn w:val="1169"/>
    <w:next w:val="1068"/>
    <w:link w:val="1068"/>
    <w:qFormat/>
    <w:pPr>
      <w:numPr>
        <w:ilvl w:val="3"/>
        <w:numId w:val="1"/>
      </w:numPr>
      <w:ind w:left="0" w:hanging="840"/>
      <w:tabs>
        <w:tab w:val="left" w:pos="360" w:leader="none"/>
        <w:tab w:val="left" w:pos="840" w:leader="none"/>
      </w:tabs>
      <w:outlineLvl w:val="3"/>
    </w:pPr>
  </w:style>
  <w:style w:type="paragraph" w:styleId="1208">
    <w:name w:val="??"/>
    <w:next w:val="1208"/>
    <w:link w:val="1068"/>
    <w:qFormat/>
    <w:pPr>
      <w:jc w:val="both"/>
      <w:widowControl w:val="off"/>
    </w:pPr>
    <w:rPr>
      <w:sz w:val="21"/>
      <w:lang w:val="en-US" w:eastAsia="en-US" w:bidi="ar-SA"/>
    </w:rPr>
  </w:style>
  <w:style w:type="paragraph" w:styleId="1209">
    <w:name w:val="样式 标题 2 + 宋体 五号 行距: 单倍行距"/>
    <w:basedOn w:val="1070"/>
    <w:next w:val="1209"/>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0">
    <w:name w:val="List Paragraph1"/>
    <w:basedOn w:val="1068"/>
    <w:next w:val="1210"/>
    <w:link w:val="1068"/>
    <w:qFormat/>
    <w:pPr>
      <w:ind w:firstLine="420"/>
    </w:pPr>
    <w:rPr>
      <w:rFonts w:ascii="Calibri" w:hAnsi="Calibri"/>
      <w:szCs w:val="22"/>
    </w:rPr>
  </w:style>
  <w:style w:type="paragraph" w:styleId="1211">
    <w:name w:val="项目符号1"/>
    <w:basedOn w:val="1212"/>
    <w:next w:val="1211"/>
    <w:link w:val="1068"/>
    <w:qFormat/>
    <w:pPr>
      <w:ind w:left="-25" w:firstLine="0"/>
    </w:pPr>
  </w:style>
  <w:style w:type="paragraph" w:styleId="1212">
    <w:name w:val="正文文本样式"/>
    <w:basedOn w:val="1068"/>
    <w:next w:val="1212"/>
    <w:link w:val="1068"/>
    <w:qFormat/>
    <w:pPr>
      <w:ind w:firstLine="482"/>
      <w:spacing w:line="360" w:lineRule="auto"/>
    </w:pPr>
    <w:rPr>
      <w:rFonts w:cs="宋体"/>
      <w:sz w:val="24"/>
      <w:szCs w:val="20"/>
    </w:rPr>
  </w:style>
  <w:style w:type="paragraph" w:styleId="1213">
    <w:name w:val="xl27"/>
    <w:basedOn w:val="1068"/>
    <w:next w:val="121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font5"/>
    <w:basedOn w:val="1068"/>
    <w:next w:val="1214"/>
    <w:link w:val="1068"/>
    <w:qFormat/>
    <w:pPr>
      <w:jc w:val="left"/>
      <w:spacing w:before="100" w:beforeAutospacing="1" w:after="100" w:afterAutospacing="1"/>
      <w:widowControl/>
    </w:pPr>
    <w:rPr>
      <w:rFonts w:ascii="宋体" w:hAnsi="宋体" w:cs="宋体"/>
      <w:sz w:val="18"/>
      <w:szCs w:val="18"/>
    </w:rPr>
  </w:style>
  <w:style w:type="paragraph" w:styleId="1215">
    <w:name w:val="五级条标题"/>
    <w:basedOn w:val="1206"/>
    <w:next w:val="1068"/>
    <w:link w:val="1068"/>
    <w:qFormat/>
    <w:pPr>
      <w:numPr>
        <w:ilvl w:val="5"/>
      </w:numPr>
      <w:ind w:left="0" w:hanging="840"/>
      <w:tabs>
        <w:tab w:val="left" w:pos="360" w:leader="none"/>
        <w:tab w:val="left" w:pos="840" w:leader="none"/>
      </w:tabs>
      <w:outlineLvl w:val="5"/>
    </w:pPr>
  </w:style>
  <w:style w:type="paragraph" w:styleId="1216">
    <w:name w:val="xl49"/>
    <w:basedOn w:val="1068"/>
    <w:next w:val="1216"/>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7">
    <w:name w:val="文档正文"/>
    <w:basedOn w:val="1068"/>
    <w:next w:val="1217"/>
    <w:link w:val="1068"/>
    <w:qFormat/>
    <w:pPr>
      <w:spacing w:before="120" w:after="120" w:line="180" w:lineRule="auto"/>
    </w:pPr>
    <w:rPr>
      <w:rFonts w:ascii="Arial" w:hAnsi="Arial"/>
      <w:szCs w:val="20"/>
    </w:rPr>
  </w:style>
  <w:style w:type="paragraph" w:styleId="1218">
    <w:name w:val="xl33"/>
    <w:basedOn w:val="1068"/>
    <w:next w:val="121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2"/>
    <w:basedOn w:val="1068"/>
    <w:next w:val="121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0">
    <w:name w:val="Char Char Char1 Char"/>
    <w:basedOn w:val="1068"/>
    <w:next w:val="1220"/>
    <w:link w:val="1068"/>
    <w:qFormat/>
    <w:rPr>
      <w:rFonts w:ascii="Tahoma" w:hAnsi="Tahoma"/>
      <w:sz w:val="24"/>
      <w:szCs w:val="20"/>
    </w:rPr>
  </w:style>
  <w:style w:type="paragraph" w:styleId="1221">
    <w:name w:val="xl44"/>
    <w:basedOn w:val="1068"/>
    <w:next w:val="1221"/>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name w:val="1名"/>
    <w:basedOn w:val="1068"/>
    <w:next w:val="1222"/>
    <w:link w:val="1068"/>
    <w:qFormat/>
    <w:pPr>
      <w:numPr>
        <w:ilvl w:val="0"/>
        <w:numId w:val="5"/>
      </w:numPr>
      <w:spacing w:before="120"/>
      <w:tabs>
        <w:tab w:val="left" w:pos="360" w:leader="none"/>
      </w:tabs>
    </w:pPr>
    <w:rPr>
      <w:rFonts w:ascii="宋体"/>
      <w:sz w:val="28"/>
      <w:szCs w:val="20"/>
    </w:rPr>
  </w:style>
  <w:style w:type="paragraph" w:styleId="1223">
    <w:name w:val="font9"/>
    <w:basedOn w:val="1068"/>
    <w:next w:val="1223"/>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4">
    <w:name w:val="Char Char Char1 Char1"/>
    <w:basedOn w:val="1068"/>
    <w:next w:val="1224"/>
    <w:link w:val="1068"/>
    <w:qFormat/>
    <w:rPr>
      <w:rFonts w:ascii="Tahoma" w:hAnsi="Tahoma"/>
      <w:sz w:val="24"/>
      <w:szCs w:val="20"/>
    </w:rPr>
  </w:style>
  <w:style w:type="paragraph" w:styleId="1225">
    <w:name w:val="Char Char Char Char Char Char Char Char Char Char"/>
    <w:basedOn w:val="1068"/>
    <w:next w:val="1225"/>
    <w:link w:val="1068"/>
    <w:qFormat/>
  </w:style>
  <w:style w:type="paragraph" w:styleId="1226">
    <w:name w:val="Char Char1 Char Char Char Char Char Char Char Char"/>
    <w:basedOn w:val="1068"/>
    <w:next w:val="1226"/>
    <w:link w:val="1068"/>
    <w:qFormat/>
    <w:pPr>
      <w:jc w:val="left"/>
      <w:spacing w:after="160" w:line="240" w:lineRule="exact"/>
      <w:widowControl/>
    </w:pPr>
    <w:rPr>
      <w:rFonts w:ascii="Verdana" w:hAnsi="Verdana"/>
      <w:sz w:val="20"/>
      <w:szCs w:val="20"/>
      <w:lang w:eastAsia="en-US"/>
    </w:rPr>
  </w:style>
  <w:style w:type="paragraph" w:styleId="1227">
    <w:name w:val="Char1"/>
    <w:basedOn w:val="1068"/>
    <w:next w:val="1227"/>
    <w:link w:val="1068"/>
    <w:qFormat/>
    <w:pPr>
      <w:tabs>
        <w:tab w:val="left" w:pos="360" w:leader="none"/>
      </w:tabs>
    </w:pPr>
    <w:rPr>
      <w:sz w:val="24"/>
    </w:rPr>
  </w:style>
  <w:style w:type="paragraph" w:styleId="1228">
    <w:name w:val="正文列项_字母"/>
    <w:basedOn w:val="1068"/>
    <w:next w:val="1228"/>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9">
    <w:name w:val="xl28"/>
    <w:basedOn w:val="1068"/>
    <w:next w:val="122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name w:val="xl47"/>
    <w:basedOn w:val="1068"/>
    <w:next w:val="123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默认段落字体 Para Char Char Char Char"/>
    <w:basedOn w:val="1068"/>
    <w:next w:val="1231"/>
    <w:link w:val="1068"/>
    <w:qFormat/>
    <w:rPr>
      <w:rFonts w:ascii="Arial" w:hAnsi="Arial" w:cs="Arial"/>
      <w:szCs w:val="21"/>
    </w:rPr>
  </w:style>
  <w:style w:type="paragraph" w:styleId="1232">
    <w:name w:val="xl48"/>
    <w:basedOn w:val="1068"/>
    <w:next w:val="123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3">
    <w:name w:val="xl31"/>
    <w:basedOn w:val="1068"/>
    <w:next w:val="123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xl53"/>
    <w:basedOn w:val="1068"/>
    <w:next w:val="123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Char Char Char"/>
    <w:basedOn w:val="1068"/>
    <w:next w:val="1235"/>
    <w:link w:val="1068"/>
    <w:qFormat/>
    <w:rPr>
      <w:rFonts w:ascii="Tahoma" w:hAnsi="Tahoma"/>
      <w:sz w:val="24"/>
      <w:szCs w:val="20"/>
    </w:rPr>
  </w:style>
  <w:style w:type="paragraph" w:styleId="1236">
    <w:name w:val="xl50"/>
    <w:basedOn w:val="1068"/>
    <w:next w:val="1236"/>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7">
    <w:name w:val="缺省文本"/>
    <w:basedOn w:val="1068"/>
    <w:next w:val="1237"/>
    <w:link w:val="1068"/>
    <w:qFormat/>
    <w:pPr>
      <w:jc w:val="left"/>
    </w:pPr>
    <w:rPr>
      <w:sz w:val="24"/>
    </w:rPr>
  </w:style>
  <w:style w:type="paragraph" w:styleId="1238">
    <w:name w:val="Char Char Char1"/>
    <w:basedOn w:val="1068"/>
    <w:next w:val="1238"/>
    <w:link w:val="1068"/>
    <w:qFormat/>
    <w:rPr>
      <w:rFonts w:ascii="Tahoma" w:hAnsi="Tahoma"/>
      <w:sz w:val="24"/>
      <w:szCs w:val="20"/>
    </w:rPr>
  </w:style>
  <w:style w:type="paragraph" w:styleId="1239">
    <w:name w:val="Char Char Char Char Char Char Char1"/>
    <w:basedOn w:val="1068"/>
    <w:next w:val="1239"/>
    <w:link w:val="1068"/>
    <w:qFormat/>
    <w:pPr>
      <w:ind w:firstLine="200"/>
      <w:spacing w:line="360" w:lineRule="auto"/>
    </w:pPr>
    <w:rPr>
      <w:rFonts w:eastAsia="仿宋_GB2312"/>
      <w:sz w:val="24"/>
    </w:rPr>
  </w:style>
  <w:style w:type="paragraph" w:styleId="1240">
    <w:name w:val="xl51"/>
    <w:basedOn w:val="1068"/>
    <w:next w:val="1240"/>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样式2"/>
    <w:basedOn w:val="1131"/>
    <w:next w:val="1241"/>
    <w:link w:val="1068"/>
    <w:qFormat/>
    <w:pPr>
      <w:jc w:val="center"/>
      <w:spacing w:line="360" w:lineRule="auto"/>
    </w:pPr>
    <w:rPr>
      <w:sz w:val="24"/>
    </w:rPr>
  </w:style>
  <w:style w:type="paragraph" w:styleId="1242">
    <w:name w:val="xl24"/>
    <w:basedOn w:val="1068"/>
    <w:next w:val="124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29"/>
    <w:basedOn w:val="1068"/>
    <w:next w:val="124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4">
    <w:name w:val="正文 + 楷体_GB2312"/>
    <w:basedOn w:val="1068"/>
    <w:next w:val="1244"/>
    <w:link w:val="1068"/>
    <w:qFormat/>
    <w:pPr>
      <w:jc w:val="left"/>
      <w:widowControl/>
    </w:pPr>
    <w:rPr>
      <w:rFonts w:ascii="楷体_GB2312" w:eastAsia="楷体_GB2312" w:cs="Arial"/>
      <w:sz w:val="24"/>
    </w:rPr>
  </w:style>
  <w:style w:type="paragraph" w:styleId="1245">
    <w:name w:val="xl34"/>
    <w:basedOn w:val="1068"/>
    <w:next w:val="124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6">
    <w:name w:val="1 Char Char Char Char"/>
    <w:basedOn w:val="1068"/>
    <w:next w:val="1246"/>
    <w:link w:val="1068"/>
    <w:qFormat/>
    <w:rPr>
      <w:rFonts w:ascii="Tahoma" w:hAnsi="Tahoma"/>
      <w:sz w:val="24"/>
      <w:szCs w:val="20"/>
    </w:rPr>
  </w:style>
  <w:style w:type="paragraph" w:styleId="1247">
    <w:name w:val="Default"/>
    <w:next w:val="1247"/>
    <w:link w:val="1068"/>
    <w:qFormat/>
    <w:pPr>
      <w:widowControl w:val="off"/>
    </w:pPr>
    <w:rPr>
      <w:rFonts w:ascii="Symbol" w:hAnsi="Symbol" w:cs="Symbol"/>
      <w:color w:val="000000"/>
      <w:sz w:val="24"/>
      <w:szCs w:val="24"/>
      <w:lang w:val="en-US" w:eastAsia="zh-CN" w:bidi="ar-SA"/>
    </w:rPr>
  </w:style>
  <w:style w:type="paragraph" w:styleId="1248">
    <w:name w:val="列出段落1"/>
    <w:basedOn w:val="1068"/>
    <w:next w:val="1248"/>
    <w:link w:val="1068"/>
    <w:qFormat/>
    <w:pPr>
      <w:ind w:firstLine="420"/>
    </w:pPr>
    <w:rPr>
      <w:rFonts w:ascii="Calibri" w:hAnsi="Calibri"/>
      <w:szCs w:val="22"/>
    </w:rPr>
  </w:style>
  <w:style w:type="paragraph" w:styleId="1249">
    <w:name w:val="default"/>
    <w:basedOn w:val="1068"/>
    <w:next w:val="1249"/>
    <w:link w:val="1068"/>
    <w:qFormat/>
    <w:pPr>
      <w:jc w:val="left"/>
      <w:spacing w:before="100" w:beforeAutospacing="1" w:after="100" w:afterAutospacing="1"/>
      <w:widowControl/>
    </w:pPr>
    <w:rPr>
      <w:rFonts w:ascii="宋体" w:hAnsi="宋体" w:cs="宋体"/>
      <w:sz w:val="24"/>
    </w:rPr>
  </w:style>
  <w:style w:type="paragraph" w:styleId="1250">
    <w:name w:val="字元 字元1"/>
    <w:basedOn w:val="1068"/>
    <w:next w:val="1250"/>
    <w:link w:val="1068"/>
    <w:qFormat/>
    <w:rPr>
      <w:rFonts w:ascii="Tahoma" w:hAnsi="Tahoma"/>
      <w:sz w:val="24"/>
      <w:szCs w:val="20"/>
    </w:rPr>
  </w:style>
  <w:style w:type="paragraph" w:styleId="1251">
    <w:name w:val="_Style 160"/>
    <w:next w:val="1251"/>
    <w:link w:val="1068"/>
    <w:qFormat/>
    <w:rPr>
      <w:sz w:val="21"/>
      <w:szCs w:val="24"/>
      <w:lang w:val="en-US" w:eastAsia="zh-CN" w:bidi="ar-SA"/>
    </w:rPr>
  </w:style>
  <w:style w:type="paragraph" w:styleId="1252">
    <w:name w:val="项目编号3"/>
    <w:basedOn w:val="1212"/>
    <w:next w:val="1252"/>
    <w:link w:val="1068"/>
    <w:qFormat/>
    <w:pPr>
      <w:numPr>
        <w:ilvl w:val="0"/>
        <w:numId w:val="6"/>
      </w:numPr>
    </w:pPr>
  </w:style>
  <w:style w:type="paragraph" w:styleId="1253">
    <w:name w:val="Char21"/>
    <w:basedOn w:val="1068"/>
    <w:next w:val="1253"/>
    <w:link w:val="1068"/>
    <w:qFormat/>
    <w:rPr>
      <w:rFonts w:ascii="Tahoma" w:hAnsi="Tahoma"/>
      <w:sz w:val="24"/>
      <w:szCs w:val="20"/>
    </w:rPr>
  </w:style>
  <w:style w:type="paragraph" w:styleId="1254">
    <w:name w:val="表格文字"/>
    <w:basedOn w:val="1102"/>
    <w:next w:val="1254"/>
    <w:link w:val="1068"/>
    <w:qFormat/>
    <w:pPr>
      <w:ind w:firstLine="0"/>
      <w:spacing w:before="20" w:after="20" w:line="240" w:lineRule="auto"/>
    </w:pPr>
    <w:rPr>
      <w:rFonts w:ascii="Century Gothic" w:hAnsi="Century Gothic"/>
      <w:sz w:val="20"/>
      <w:szCs w:val="20"/>
    </w:rPr>
  </w:style>
  <w:style w:type="paragraph" w:styleId="1255">
    <w:name w:val="Char Char Char Char Char Char Char Char Char Char1"/>
    <w:basedOn w:val="1068"/>
    <w:next w:val="1255"/>
    <w:link w:val="1068"/>
    <w:qFormat/>
    <w:rPr>
      <w:rFonts w:ascii="宋体" w:hAnsi="宋体" w:cs="Courier New"/>
      <w:sz w:val="32"/>
      <w:szCs w:val="32"/>
    </w:rPr>
  </w:style>
  <w:style w:type="paragraph" w:styleId="1256">
    <w:name w:val="正文文本样式 加粗"/>
    <w:basedOn w:val="1212"/>
    <w:next w:val="1256"/>
    <w:link w:val="1068"/>
    <w:qFormat/>
    <w:rPr>
      <w:b/>
    </w:rPr>
  </w:style>
  <w:style w:type="paragraph" w:styleId="1257">
    <w:name w:val="Char2 Char Char Char Char Char Char"/>
    <w:basedOn w:val="1068"/>
    <w:next w:val="1257"/>
    <w:link w:val="1068"/>
    <w:qFormat/>
    <w:pPr>
      <w:jc w:val="center"/>
      <w:spacing w:line="400" w:lineRule="exact"/>
      <w:widowControl/>
    </w:pPr>
  </w:style>
  <w:style w:type="paragraph" w:styleId="1258">
    <w:name w:val="Char Char4"/>
    <w:basedOn w:val="1068"/>
    <w:next w:val="1258"/>
    <w:link w:val="1068"/>
    <w:qFormat/>
    <w:pPr>
      <w:jc w:val="center"/>
      <w:spacing w:line="400" w:lineRule="exact"/>
      <w:widowControl/>
    </w:pPr>
  </w:style>
  <w:style w:type="paragraph" w:styleId="1259">
    <w:name w:val="Char3 Char Char Char1"/>
    <w:basedOn w:val="1068"/>
    <w:next w:val="1259"/>
    <w:link w:val="1068"/>
    <w:qFormat/>
    <w:rPr>
      <w:rFonts w:ascii="Tahoma" w:hAnsi="Tahoma"/>
      <w:sz w:val="24"/>
      <w:szCs w:val="20"/>
    </w:rPr>
  </w:style>
  <w:style w:type="paragraph" w:styleId="1260">
    <w:name w:val="无间隔"/>
    <w:next w:val="1260"/>
    <w:link w:val="1068"/>
    <w:qFormat/>
    <w:pPr>
      <w:jc w:val="both"/>
      <w:widowControl w:val="off"/>
    </w:pPr>
    <w:rPr>
      <w:sz w:val="21"/>
      <w:szCs w:val="24"/>
      <w:lang w:val="en-US" w:eastAsia="zh-CN" w:bidi="ar-SA"/>
    </w:rPr>
  </w:style>
  <w:style w:type="paragraph" w:styleId="1261">
    <w:name w:val="22222222222222"/>
    <w:basedOn w:val="1068"/>
    <w:next w:val="1261"/>
    <w:link w:val="1068"/>
    <w:qFormat/>
    <w:pPr>
      <w:ind w:firstLine="480"/>
      <w:jc w:val="left"/>
      <w:spacing w:line="360" w:lineRule="auto"/>
      <w:widowControl/>
    </w:pPr>
    <w:rPr>
      <w:color w:val="ff0000"/>
      <w:sz w:val="24"/>
      <w:szCs w:val="20"/>
    </w:rPr>
  </w:style>
  <w:style w:type="character" w:styleId="1262">
    <w:name w:val="中等深浅网格 1 - 强调文字颜色 2 Char"/>
    <w:next w:val="1262"/>
    <w:link w:val="1263"/>
    <w:qFormat/>
    <w:rPr>
      <w:sz w:val="21"/>
      <w:szCs w:val="24"/>
      <w:lang w:val="zh-CN" w:eastAsia="zh-CN" w:bidi="ar-SA"/>
    </w:rPr>
  </w:style>
  <w:style w:type="paragraph" w:styleId="1263">
    <w:name w:val="1"/>
    <w:next w:val="1263"/>
    <w:link w:val="1262"/>
    <w:qFormat/>
    <w:rPr>
      <w:sz w:val="21"/>
      <w:szCs w:val="24"/>
      <w:lang w:val="zh-CN" w:eastAsia="zh-CN" w:bidi="ar-SA"/>
    </w:rPr>
  </w:style>
  <w:style w:type="paragraph" w:styleId="1264">
    <w:name w:val="图文"/>
    <w:basedOn w:val="1068"/>
    <w:next w:val="1264"/>
    <w:link w:val="1068"/>
    <w:qFormat/>
    <w:pPr>
      <w:spacing w:after="50" w:line="360" w:lineRule="auto"/>
    </w:pPr>
    <w:rPr>
      <w:sz w:val="24"/>
    </w:rPr>
  </w:style>
  <w:style w:type="paragraph" w:styleId="1265">
    <w:name w:val="xl23"/>
    <w:basedOn w:val="1068"/>
    <w:next w:val="1265"/>
    <w:link w:val="1068"/>
    <w:qFormat/>
    <w:pPr>
      <w:spacing w:before="100" w:beforeAutospacing="1" w:after="100" w:afterAutospacing="1" w:line="360" w:lineRule="auto"/>
      <w:widowControl/>
    </w:pPr>
    <w:rPr>
      <w:sz w:val="24"/>
      <w:szCs w:val="20"/>
    </w:rPr>
  </w:style>
  <w:style w:type="paragraph" w:styleId="1266">
    <w:name w:val="正文表格"/>
    <w:basedOn w:val="1068"/>
    <w:next w:val="1266"/>
    <w:link w:val="1267"/>
    <w:qFormat/>
    <w:pPr>
      <w:jc w:val="left"/>
    </w:pPr>
    <w:rPr>
      <w:rFonts w:ascii="宋体" w:hAnsi="宋体"/>
      <w:color w:val="000000"/>
      <w:szCs w:val="21"/>
    </w:rPr>
  </w:style>
  <w:style w:type="character" w:styleId="1267">
    <w:name w:val="正文表格 Char"/>
    <w:next w:val="1267"/>
    <w:link w:val="1266"/>
    <w:qFormat/>
    <w:rPr>
      <w:rFonts w:ascii="宋体" w:hAnsi="宋体"/>
      <w:color w:val="000000"/>
      <w:sz w:val="21"/>
      <w:szCs w:val="21"/>
    </w:rPr>
  </w:style>
  <w:style w:type="paragraph" w:styleId="1268">
    <w:name w:val="正文重点"/>
    <w:basedOn w:val="1068"/>
    <w:next w:val="1268"/>
    <w:link w:val="1269"/>
    <w:qFormat/>
    <w:pPr>
      <w:ind w:firstLine="482"/>
      <w:jc w:val="left"/>
      <w:spacing w:line="360" w:lineRule="auto"/>
    </w:pPr>
    <w:rPr>
      <w:b/>
      <w:sz w:val="24"/>
      <w:szCs w:val="20"/>
    </w:rPr>
  </w:style>
  <w:style w:type="character" w:styleId="1269">
    <w:name w:val="正文重点 Char"/>
    <w:next w:val="1269"/>
    <w:link w:val="1268"/>
    <w:qFormat/>
    <w:rPr>
      <w:b/>
      <w:sz w:val="24"/>
    </w:rPr>
  </w:style>
  <w:style w:type="paragraph" w:styleId="1270">
    <w:name w:val="标题1-附件"/>
    <w:basedOn w:val="1069"/>
    <w:next w:val="1270"/>
    <w:link w:val="1068"/>
    <w:qFormat/>
    <w:pPr>
      <w:jc w:val="left"/>
    </w:pPr>
    <w:rPr>
      <w:sz w:val="24"/>
      <w:szCs w:val="24"/>
    </w:rPr>
  </w:style>
  <w:style w:type="paragraph" w:styleId="1271">
    <w:name w:val="正文小标题"/>
    <w:basedOn w:val="1068"/>
    <w:next w:val="1083"/>
    <w:link w:val="1272"/>
    <w:qFormat/>
    <w:pPr>
      <w:ind w:firstLine="482"/>
      <w:jc w:val="left"/>
      <w:spacing w:before="312" w:after="312"/>
    </w:pPr>
    <w:rPr>
      <w:rFonts w:ascii="宋体" w:hAnsi="宋体"/>
      <w:b/>
      <w:i/>
      <w:color w:val="ff0000"/>
      <w:sz w:val="24"/>
      <w:szCs w:val="20"/>
    </w:rPr>
  </w:style>
  <w:style w:type="character" w:styleId="1272">
    <w:name w:val="正文小标题 Char"/>
    <w:next w:val="1272"/>
    <w:link w:val="1271"/>
    <w:qFormat/>
    <w:rPr>
      <w:rFonts w:ascii="宋体" w:hAnsi="宋体"/>
      <w:b/>
      <w:i/>
      <w:color w:val="ff0000"/>
      <w:sz w:val="24"/>
    </w:rPr>
  </w:style>
  <w:style w:type="paragraph" w:styleId="1273">
    <w:name w:val="正文大标题"/>
    <w:basedOn w:val="1271"/>
    <w:next w:val="1083"/>
    <w:link w:val="1274"/>
    <w:qFormat/>
    <w:pPr>
      <w:jc w:val="center"/>
    </w:pPr>
    <w:rPr>
      <w:i w:val="0"/>
      <w:color w:val="000000"/>
      <w:sz w:val="28"/>
      <w:szCs w:val="21"/>
    </w:rPr>
  </w:style>
  <w:style w:type="character" w:styleId="1274">
    <w:name w:val="正文大标题 Char"/>
    <w:next w:val="1274"/>
    <w:link w:val="1273"/>
    <w:qFormat/>
    <w:rPr>
      <w:rFonts w:ascii="宋体" w:hAnsi="宋体"/>
      <w:b/>
      <w:color w:val="000000"/>
      <w:sz w:val="28"/>
      <w:szCs w:val="21"/>
    </w:rPr>
  </w:style>
  <w:style w:type="paragraph" w:styleId="1275">
    <w:name w:val="注释"/>
    <w:basedOn w:val="1068"/>
    <w:next w:val="1275"/>
    <w:link w:val="1276"/>
    <w:qFormat/>
    <w:pPr>
      <w:ind w:left="420" w:hanging="420"/>
      <w:jc w:val="left"/>
    </w:pPr>
    <w:rPr>
      <w:rFonts w:ascii="宋体" w:hAnsi="宋体"/>
      <w:szCs w:val="21"/>
    </w:rPr>
  </w:style>
  <w:style w:type="character" w:styleId="1276">
    <w:name w:val="注释 Char"/>
    <w:next w:val="1276"/>
    <w:link w:val="1275"/>
    <w:qFormat/>
    <w:rPr>
      <w:rFonts w:ascii="宋体" w:hAnsi="宋体"/>
      <w:sz w:val="21"/>
      <w:szCs w:val="21"/>
    </w:rPr>
  </w:style>
  <w:style w:type="paragraph" w:styleId="1277">
    <w:name w:val="正文须知-1级"/>
    <w:basedOn w:val="1068"/>
    <w:next w:val="1068"/>
    <w:link w:val="1068"/>
    <w:qFormat/>
    <w:pPr>
      <w:numPr>
        <w:ilvl w:val="0"/>
        <w:numId w:val="7"/>
      </w:numPr>
      <w:spacing w:line="300" w:lineRule="auto"/>
    </w:pPr>
    <w:rPr>
      <w:rFonts w:ascii="宋体" w:hAnsi="Calibri"/>
      <w:sz w:val="24"/>
      <w:szCs w:val="21"/>
    </w:rPr>
  </w:style>
  <w:style w:type="paragraph" w:styleId="1278">
    <w:name w:val="正文须知-2级"/>
    <w:basedOn w:val="1068"/>
    <w:next w:val="1278"/>
    <w:link w:val="1068"/>
    <w:qFormat/>
    <w:pPr>
      <w:numPr>
        <w:ilvl w:val="1"/>
        <w:numId w:val="7"/>
      </w:numPr>
      <w:spacing w:line="300" w:lineRule="auto"/>
    </w:pPr>
    <w:rPr>
      <w:rFonts w:ascii="宋体" w:hAnsi="Calibri"/>
      <w:sz w:val="24"/>
      <w:szCs w:val="21"/>
    </w:rPr>
  </w:style>
  <w:style w:type="paragraph" w:styleId="1279">
    <w:name w:val="正文须知-3级"/>
    <w:basedOn w:val="1068"/>
    <w:next w:val="1279"/>
    <w:link w:val="1068"/>
    <w:qFormat/>
    <w:pPr>
      <w:numPr>
        <w:ilvl w:val="2"/>
        <w:numId w:val="7"/>
      </w:numPr>
      <w:ind w:hanging="355"/>
      <w:spacing w:line="300" w:lineRule="auto"/>
    </w:pPr>
    <w:rPr>
      <w:rFonts w:ascii="宋体" w:hAnsi="Calibri"/>
      <w:sz w:val="24"/>
      <w:szCs w:val="21"/>
    </w:rPr>
  </w:style>
  <w:style w:type="character" w:styleId="1280">
    <w:name w:val="纯文本 字符"/>
    <w:next w:val="1280"/>
    <w:link w:val="1068"/>
    <w:uiPriority w:val="99"/>
    <w:qFormat/>
    <w:rPr>
      <w:rFonts w:ascii="宋体" w:hAnsi="Courier New" w:eastAsia="宋体" w:cs="Times New Roman"/>
      <w:sz w:val="21"/>
      <w:szCs w:val="21"/>
      <w:lang w:val="en-US" w:eastAsia="zh-CN" w:bidi="ar-SA"/>
    </w:rPr>
  </w:style>
  <w:style w:type="paragraph" w:styleId="1281">
    <w:name w:val="表格1"/>
    <w:basedOn w:val="1068"/>
    <w:next w:val="1281"/>
    <w:link w:val="1068"/>
    <w:qFormat/>
    <w:pPr>
      <w:ind w:firstLine="480"/>
      <w:jc w:val="center"/>
    </w:pPr>
    <w:rPr>
      <w:sz w:val="24"/>
      <w:szCs w:val="20"/>
    </w:rPr>
  </w:style>
  <w:style w:type="character" w:styleId="1282">
    <w:name w:val="纯文本 字符1"/>
    <w:next w:val="1282"/>
    <w:link w:val="1068"/>
    <w:qFormat/>
    <w:rPr>
      <w:rFonts w:ascii="宋体" w:hAnsi="Courier New"/>
    </w:rPr>
  </w:style>
  <w:style w:type="character" w:styleId="1283">
    <w:name w:val="bjh-p"/>
    <w:next w:val="1283"/>
    <w:link w:val="1068"/>
    <w:qFormat/>
  </w:style>
  <w:style w:type="paragraph" w:styleId="1284">
    <w:name w:val="无标题条"/>
    <w:next w:val="1068"/>
    <w:link w:val="1068"/>
    <w:qFormat/>
    <w:pPr>
      <w:jc w:val="both"/>
    </w:pPr>
    <w:rPr>
      <w:sz w:val="21"/>
      <w:lang w:val="en-US" w:eastAsia="zh-CN" w:bidi="ar-SA"/>
    </w:rPr>
  </w:style>
  <w:style w:type="character" w:styleId="1285">
    <w:name w:val="正文格式 Char"/>
    <w:next w:val="1285"/>
    <w:link w:val="1286"/>
    <w:qFormat/>
    <w:rPr>
      <w:rFonts w:ascii="宋体" w:hAnsi="宋体"/>
      <w:sz w:val="24"/>
      <w:szCs w:val="24"/>
      <w:lang w:val="en-GB"/>
    </w:rPr>
  </w:style>
  <w:style w:type="paragraph" w:styleId="1286">
    <w:name w:val="正文格式"/>
    <w:basedOn w:val="1068"/>
    <w:next w:val="1286"/>
    <w:link w:val="1285"/>
    <w:qFormat/>
    <w:pPr>
      <w:ind w:firstLine="480"/>
      <w:spacing w:line="360" w:lineRule="auto"/>
    </w:pPr>
    <w:rPr>
      <w:rFonts w:ascii="宋体" w:hAnsi="宋体"/>
      <w:sz w:val="24"/>
      <w:lang w:val="en-GB"/>
    </w:rPr>
  </w:style>
  <w:style w:type="character" w:styleId="1287">
    <w:name w:val="标题 3 Char"/>
    <w:next w:val="1287"/>
    <w:link w:val="1068"/>
    <w:qFormat/>
    <w:rPr>
      <w:rFonts w:ascii="宋体" w:eastAsia="宋体"/>
      <w:b/>
      <w:sz w:val="24"/>
      <w:u w:val="single"/>
      <w:lang w:val="en-US" w:eastAsia="zh-CN" w:bidi="ar-SA"/>
    </w:rPr>
  </w:style>
  <w:style w:type="character" w:styleId="1288">
    <w:name w:val="正文缩进 Char"/>
    <w:next w:val="1288"/>
    <w:link w:val="1068"/>
    <w:qFormat/>
    <w:rPr>
      <w:rFonts w:ascii="宋体" w:eastAsia="宋体"/>
      <w:sz w:val="24"/>
      <w:szCs w:val="24"/>
      <w:lang w:val="en-US" w:eastAsia="zh-CN" w:bidi="ar-SA"/>
    </w:rPr>
  </w:style>
  <w:style w:type="character" w:styleId="1289">
    <w:name w:val="Char Char111"/>
    <w:next w:val="1289"/>
    <w:link w:val="1068"/>
    <w:qFormat/>
    <w:rPr>
      <w:rFonts w:ascii="宋体" w:eastAsia="宋体"/>
      <w:b/>
      <w:sz w:val="24"/>
      <w:u w:val="single"/>
      <w:lang w:val="en-US" w:eastAsia="zh-CN" w:bidi="ar-SA"/>
    </w:rPr>
  </w:style>
  <w:style w:type="character" w:styleId="1290">
    <w:name w:val="正文文本缩进 Char"/>
    <w:next w:val="1290"/>
    <w:link w:val="1068"/>
    <w:qFormat/>
    <w:rPr>
      <w:rFonts w:eastAsia="宋体"/>
      <w:sz w:val="24"/>
      <w:szCs w:val="24"/>
      <w:lang w:val="en-US" w:eastAsia="zh-CN" w:bidi="ar-SA"/>
    </w:rPr>
  </w:style>
  <w:style w:type="character" w:styleId="1291">
    <w:name w:val="列出段落 Char"/>
    <w:next w:val="1291"/>
    <w:link w:val="1068"/>
    <w:qFormat/>
    <w:rPr>
      <w:rFonts w:ascii="Calibri" w:hAnsi="Calibri" w:eastAsia="宋体"/>
      <w:sz w:val="21"/>
      <w:szCs w:val="22"/>
      <w:lang w:val="en-US" w:eastAsia="zh-CN" w:bidi="ar-SA"/>
    </w:rPr>
  </w:style>
  <w:style w:type="character" w:styleId="1292">
    <w:name w:val="页眉 Char"/>
    <w:next w:val="1292"/>
    <w:link w:val="1068"/>
    <w:qFormat/>
    <w:rPr>
      <w:rFonts w:eastAsia="宋体"/>
      <w:sz w:val="18"/>
      <w:szCs w:val="18"/>
      <w:lang w:val="en-US" w:eastAsia="zh-CN" w:bidi="ar-SA"/>
    </w:rPr>
  </w:style>
  <w:style w:type="character" w:styleId="1293">
    <w:name w:val="标题 2 Char"/>
    <w:next w:val="1293"/>
    <w:link w:val="1068"/>
    <w:qFormat/>
    <w:rPr>
      <w:rFonts w:ascii="Arial" w:hAnsi="Arial" w:eastAsia="黑体"/>
      <w:b/>
      <w:sz w:val="30"/>
      <w:lang w:val="en-US" w:eastAsia="zh-CN" w:bidi="ar-SA"/>
    </w:rPr>
  </w:style>
  <w:style w:type="paragraph" w:styleId="1294">
    <w:name w:val="字元 字元2"/>
    <w:basedOn w:val="1068"/>
    <w:next w:val="1294"/>
    <w:link w:val="1068"/>
    <w:qFormat/>
    <w:rPr>
      <w:rFonts w:ascii="Tahoma" w:hAnsi="Tahoma"/>
      <w:sz w:val="24"/>
      <w:szCs w:val="20"/>
    </w:rPr>
  </w:style>
  <w:style w:type="paragraph" w:styleId="1295">
    <w:name w:val="Char3 Char Char Char2"/>
    <w:basedOn w:val="1068"/>
    <w:next w:val="1295"/>
    <w:link w:val="1068"/>
    <w:qFormat/>
    <w:rPr>
      <w:rFonts w:ascii="Tahoma" w:hAnsi="Tahoma"/>
      <w:sz w:val="24"/>
      <w:szCs w:val="20"/>
    </w:rPr>
  </w:style>
  <w:style w:type="paragraph" w:styleId="1296">
    <w:name w:val="正文文本缩进2"/>
    <w:basedOn w:val="1068"/>
    <w:next w:val="1296"/>
    <w:link w:val="1068"/>
    <w:qFormat/>
    <w:pPr>
      <w:ind w:firstLine="480"/>
      <w:spacing w:line="480" w:lineRule="exact"/>
    </w:pPr>
    <w:rPr>
      <w:rFonts w:ascii="宋体" w:hAnsi="宋体"/>
      <w:sz w:val="24"/>
      <w:lang w:val="zh-CN" w:eastAsia="zh-CN"/>
    </w:rPr>
  </w:style>
  <w:style w:type="paragraph" w:styleId="1297">
    <w:name w:val="Char3"/>
    <w:basedOn w:val="1068"/>
    <w:next w:val="1297"/>
    <w:link w:val="1068"/>
    <w:qFormat/>
    <w:pPr>
      <w:tabs>
        <w:tab w:val="left" w:pos="360" w:leader="none"/>
      </w:tabs>
    </w:pPr>
    <w:rPr>
      <w:sz w:val="24"/>
    </w:rPr>
  </w:style>
  <w:style w:type="paragraph" w:styleId="1298">
    <w:name w:val="Char Char Char Char Char Char Char Char Char Char Char Char Char Char Char Char1"/>
    <w:basedOn w:val="1068"/>
    <w:next w:val="1298"/>
    <w:link w:val="1068"/>
    <w:qFormat/>
    <w:pPr>
      <w:jc w:val="center"/>
      <w:spacing w:after="160" w:line="240" w:lineRule="exact"/>
      <w:widowControl/>
    </w:pPr>
    <w:rPr>
      <w:rFonts w:ascii="宋体" w:hAnsi="宋体"/>
      <w:b/>
      <w:sz w:val="30"/>
      <w:szCs w:val="30"/>
      <w:lang w:eastAsia="en-US"/>
    </w:rPr>
  </w:style>
  <w:style w:type="paragraph" w:styleId="1299">
    <w:name w:val="Char Char1 Char Char Char Char Char Char1"/>
    <w:basedOn w:val="1068"/>
    <w:next w:val="1299"/>
    <w:link w:val="1068"/>
    <w:qFormat/>
    <w:pPr>
      <w:jc w:val="left"/>
      <w:spacing w:after="160" w:line="240" w:lineRule="exact"/>
      <w:widowControl/>
    </w:pPr>
    <w:rPr>
      <w:rFonts w:ascii="Verdana" w:hAnsi="Verdana" w:eastAsia="仿宋_GB2312"/>
      <w:sz w:val="24"/>
      <w:szCs w:val="20"/>
      <w:lang w:eastAsia="en-US"/>
    </w:rPr>
  </w:style>
  <w:style w:type="paragraph" w:styleId="1300">
    <w:name w:val="列出段落2"/>
    <w:basedOn w:val="1068"/>
    <w:next w:val="1300"/>
    <w:link w:val="1068"/>
    <w:qFormat/>
    <w:pPr>
      <w:ind w:firstLine="420"/>
    </w:pPr>
    <w:rPr>
      <w:rFonts w:ascii="Calibri" w:hAnsi="Calibri"/>
      <w:szCs w:val="22"/>
    </w:rPr>
  </w:style>
  <w:style w:type="paragraph" w:styleId="1301">
    <w:name w:val="Char Char Char1 Char2"/>
    <w:basedOn w:val="1068"/>
    <w:next w:val="1301"/>
    <w:link w:val="1068"/>
    <w:qFormat/>
    <w:rPr>
      <w:rFonts w:ascii="Tahoma" w:hAnsi="Tahoma"/>
      <w:sz w:val="24"/>
      <w:szCs w:val="20"/>
    </w:rPr>
  </w:style>
  <w:style w:type="paragraph" w:styleId="1302">
    <w:name w:val="Char Char Char2"/>
    <w:basedOn w:val="1068"/>
    <w:next w:val="1302"/>
    <w:link w:val="1068"/>
    <w:qFormat/>
    <w:rPr>
      <w:rFonts w:ascii="Tahoma" w:hAnsi="Tahoma"/>
      <w:sz w:val="24"/>
      <w:szCs w:val="20"/>
    </w:rPr>
  </w:style>
  <w:style w:type="paragraph" w:styleId="1303">
    <w:name w:val="Char Char Char Char Char Char Char2"/>
    <w:basedOn w:val="1068"/>
    <w:next w:val="1303"/>
    <w:link w:val="1068"/>
    <w:qFormat/>
    <w:pPr>
      <w:ind w:firstLine="200"/>
      <w:spacing w:line="360" w:lineRule="auto"/>
    </w:pPr>
    <w:rPr>
      <w:rFonts w:eastAsia="仿宋_GB2312"/>
      <w:sz w:val="24"/>
    </w:rPr>
  </w:style>
  <w:style w:type="paragraph" w:styleId="1304">
    <w:name w:val="正文缩进2"/>
    <w:basedOn w:val="1068"/>
    <w:next w:val="1304"/>
    <w:link w:val="1068"/>
    <w:qFormat/>
    <w:pPr>
      <w:ind w:firstLine="567"/>
      <w:spacing w:line="480" w:lineRule="exact"/>
      <w:widowControl/>
    </w:pPr>
    <w:rPr>
      <w:rFonts w:ascii="宋体"/>
      <w:color w:val="000000"/>
      <w:sz w:val="28"/>
      <w:szCs w:val="20"/>
      <w:lang w:val="zh-CN" w:eastAsia="zh-CN"/>
    </w:rPr>
  </w:style>
  <w:style w:type="paragraph" w:styleId="1305">
    <w:name w:val="Revision"/>
    <w:next w:val="1305"/>
    <w:link w:val="1068"/>
    <w:qFormat/>
    <w:rPr>
      <w:sz w:val="21"/>
      <w:szCs w:val="24"/>
      <w:lang w:val="en-US" w:eastAsia="zh-CN" w:bidi="ar-SA"/>
    </w:rPr>
  </w:style>
  <w:style w:type="paragraph" w:styleId="1306">
    <w:name w:val="Char22"/>
    <w:basedOn w:val="1068"/>
    <w:next w:val="1306"/>
    <w:link w:val="1068"/>
    <w:qFormat/>
    <w:rPr>
      <w:rFonts w:ascii="Tahoma" w:hAnsi="Tahoma"/>
      <w:sz w:val="24"/>
      <w:szCs w:val="20"/>
    </w:rPr>
  </w:style>
  <w:style w:type="paragraph" w:styleId="1307">
    <w:name w:val="Char Char Char Char Char Char Char Char Char Char2"/>
    <w:basedOn w:val="1068"/>
    <w:next w:val="1307"/>
    <w:link w:val="1068"/>
    <w:qFormat/>
    <w:rPr>
      <w:rFonts w:ascii="宋体" w:hAnsi="宋体" w:cs="Courier New"/>
      <w:sz w:val="32"/>
      <w:szCs w:val="32"/>
    </w:rPr>
  </w:style>
  <w:style w:type="paragraph" w:styleId="1308">
    <w:name w:val="Char2 Char Char Char Char Char Char1"/>
    <w:basedOn w:val="1068"/>
    <w:next w:val="1308"/>
    <w:link w:val="1068"/>
    <w:qFormat/>
    <w:pPr>
      <w:jc w:val="center"/>
      <w:spacing w:line="400" w:lineRule="exact"/>
      <w:widowControl/>
    </w:pPr>
  </w:style>
  <w:style w:type="character" w:styleId="1309">
    <w:name w:val="页脚 Char"/>
    <w:next w:val="1309"/>
    <w:link w:val="1068"/>
    <w:qFormat/>
    <w:rPr>
      <w:rFonts w:ascii="宋体" w:eastAsia="宋体"/>
      <w:sz w:val="18"/>
      <w:lang w:val="en-US" w:eastAsia="zh-CN" w:bidi="ar-SA"/>
    </w:rPr>
  </w:style>
  <w:style w:type="paragraph" w:styleId="1310">
    <w:name w:val="Char Char41"/>
    <w:basedOn w:val="1068"/>
    <w:next w:val="1310"/>
    <w:link w:val="1068"/>
    <w:qFormat/>
    <w:pPr>
      <w:jc w:val="center"/>
      <w:spacing w:line="400" w:lineRule="exact"/>
      <w:widowControl/>
    </w:pPr>
  </w:style>
  <w:style w:type="character" w:styleId="1311">
    <w:name w:val="批注文字 Char"/>
    <w:next w:val="1311"/>
    <w:link w:val="1068"/>
    <w:uiPriority w:val="99"/>
    <w:qFormat/>
    <w:rPr>
      <w:sz w:val="21"/>
      <w:szCs w:val="24"/>
    </w:rPr>
  </w:style>
  <w:style w:type="character" w:styleId="1312">
    <w:name w:val="标题 Char"/>
    <w:next w:val="1312"/>
    <w:link w:val="1068"/>
    <w:qFormat/>
    <w:rPr>
      <w:b/>
      <w:sz w:val="32"/>
    </w:rPr>
  </w:style>
  <w:style w:type="paragraph" w:styleId="1313">
    <w:name w:val="图例"/>
    <w:basedOn w:val="1068"/>
    <w:next w:val="1313"/>
    <w:link w:val="1068"/>
    <w:qFormat/>
    <w:pPr>
      <w:jc w:val="center"/>
      <w:spacing w:before="120" w:after="120" w:line="360" w:lineRule="auto"/>
    </w:pPr>
    <w:rPr>
      <w:rFonts w:eastAsia="仿宋_GB2312"/>
      <w:b/>
      <w:sz w:val="24"/>
      <w:szCs w:val="20"/>
    </w:rPr>
  </w:style>
  <w:style w:type="table" w:styleId="1314">
    <w:name w:val="Table Normal"/>
    <w:next w:val="1314"/>
    <w:link w:val="1068"/>
    <w:uiPriority w:val="2"/>
    <w:unhideWhenUsed/>
    <w:qFormat/>
    <w:pPr>
      <w:widowControl w:val="off"/>
    </w:pPr>
    <w:rPr>
      <w:rFonts w:ascii="Calibri" w:hAnsi="Calibri"/>
      <w:sz w:val="22"/>
      <w:szCs w:val="22"/>
      <w:lang w:val="en-US" w:eastAsia="en-US" w:bidi="ar-SA"/>
    </w:rPr>
    <w:tblPr/>
  </w:style>
  <w:style w:type="paragraph" w:styleId="1315">
    <w:name w:val="Table Paragraph"/>
    <w:basedOn w:val="1068"/>
    <w:next w:val="1315"/>
    <w:link w:val="1068"/>
    <w:uiPriority w:val="1"/>
    <w:qFormat/>
    <w:pPr>
      <w:jc w:val="left"/>
    </w:pPr>
    <w:rPr>
      <w:rFonts w:ascii="宋体" w:hAnsi="宋体" w:cs="宋体"/>
      <w:sz w:val="22"/>
      <w:szCs w:val="22"/>
      <w:lang w:eastAsia="en-US"/>
    </w:rPr>
  </w:style>
  <w:style w:type="paragraph" w:styleId="1316">
    <w:name w:val="成文日期"/>
    <w:basedOn w:val="1068"/>
    <w:next w:val="1316"/>
    <w:link w:val="1317"/>
    <w:qFormat/>
    <w:pPr>
      <w:ind w:right="400" w:firstLine="200"/>
      <w:jc w:val="right"/>
      <w:spacing w:line="570" w:lineRule="exact"/>
    </w:pPr>
    <w:rPr>
      <w:rFonts w:ascii="仿宋_GB2312" w:eastAsia="仿宋_GB2312"/>
      <w:sz w:val="32"/>
      <w:szCs w:val="20"/>
    </w:rPr>
  </w:style>
  <w:style w:type="character" w:styleId="1317">
    <w:name w:val="成文日期 Char"/>
    <w:next w:val="1317"/>
    <w:link w:val="1316"/>
    <w:rPr>
      <w:rFonts w:ascii="仿宋_GB2312" w:eastAsia="仿宋_GB2312"/>
      <w:sz w:val="32"/>
    </w:rPr>
  </w:style>
  <w:style w:type="paragraph" w:styleId="1318">
    <w:name w:val="修订"/>
    <w:next w:val="1318"/>
    <w:link w:val="1068"/>
    <w:uiPriority w:val="99"/>
    <w:unhideWhenUsed/>
    <w:rPr>
      <w:sz w:val="21"/>
      <w:szCs w:val="24"/>
      <w:lang w:val="en-US" w:eastAsia="zh-CN" w:bidi="ar-SA"/>
    </w:rPr>
  </w:style>
  <w:style w:type="character" w:styleId="1319">
    <w:name w:val="正文缩进 字符"/>
    <w:next w:val="1319"/>
    <w:link w:val="1068"/>
    <w:uiPriority w:val="99"/>
    <w:qFormat/>
    <w:rPr>
      <w:rFonts w:ascii="宋体" w:hAnsi="Times New Roman" w:eastAsia="宋体" w:cs="Times New Roman"/>
      <w:sz w:val="24"/>
    </w:rPr>
  </w:style>
  <w:style w:type="character" w:styleId="1320">
    <w:name w:val="正文文本 字符"/>
    <w:next w:val="1320"/>
    <w:link w:val="1068"/>
    <w:qFormat/>
    <w:rPr>
      <w:rFonts w:ascii="宋体" w:hAnsi="宋体"/>
      <w:sz w:val="24"/>
      <w:szCs w:val="24"/>
    </w:rPr>
  </w:style>
  <w:style w:type="paragraph" w:styleId="1321">
    <w:name w:val="纯文本1"/>
    <w:next w:val="1122"/>
    <w:link w:val="1068"/>
    <w:qFormat/>
    <w:pPr>
      <w:jc w:val="both"/>
      <w:widowControl w:val="off"/>
    </w:pPr>
    <w:rPr>
      <w:rFonts w:ascii="宋体" w:hAnsi="宋体"/>
      <w:sz w:val="26"/>
      <w:szCs w:val="24"/>
      <w:lang w:val="en-US" w:eastAsia="zh-CN" w:bidi="ar-SA"/>
    </w:rPr>
  </w:style>
  <w:style w:type="paragraph" w:styleId="1322">
    <w:name w:val="AONormal"/>
    <w:next w:val="1322"/>
    <w:link w:val="1068"/>
    <w:qFormat/>
    <w:pPr>
      <w:ind w:firstLine="440"/>
      <w:spacing w:line="400" w:lineRule="exact"/>
    </w:pPr>
    <w:rPr>
      <w:rFonts w:ascii="华文楷体" w:hAnsi="华文楷体" w:eastAsia="华文楷体" w:cs="华文楷体"/>
      <w:sz w:val="22"/>
      <w:szCs w:val="21"/>
      <w:lang w:val="en-US" w:eastAsia="zh-CN" w:bidi="ar-SA"/>
    </w:rPr>
  </w:style>
  <w:style w:type="character" w:styleId="1323">
    <w:name w:val="正文文本缩进 2 Char"/>
    <w:next w:val="1323"/>
    <w:link w:val="1068"/>
    <w:qFormat/>
    <w:rPr>
      <w:rFonts w:ascii="仿宋_GB2312" w:eastAsia="仿宋_GB2312"/>
      <w:sz w:val="24"/>
      <w:szCs w:val="24"/>
    </w:rPr>
  </w:style>
  <w:style w:type="paragraph" w:styleId="1324">
    <w:name w:val="_Style 8"/>
    <w:basedOn w:val="1068"/>
    <w:next w:val="1163"/>
    <w:link w:val="1068"/>
    <w:uiPriority w:val="34"/>
    <w:qFormat/>
    <w:pPr>
      <w:ind w:firstLine="420"/>
    </w:pPr>
    <w:rPr>
      <w:rFonts w:ascii="Calibri" w:hAnsi="Calibri"/>
      <w:szCs w:val="22"/>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10</cp:revision>
  <dcterms:created xsi:type="dcterms:W3CDTF">2026-05-08T05:45:00Z</dcterms:created>
  <dcterms:modified xsi:type="dcterms:W3CDTF">2026-05-08T10:01:31Z</dcterms:modified>
  <cp:version>1048576</cp:version>
</cp:coreProperties>
</file>